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июле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2023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3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33" w:type="dxa"/>
          <w:bottom w:w="0" w:type="dxa"/>
          <w:right w:w="108" w:type="dxa"/>
        </w:tblCellMar>
      </w:tblPr>
      <w:tblGrid>
        <w:gridCol w:w="539"/>
        <w:gridCol w:w="1296"/>
        <w:gridCol w:w="1412"/>
        <w:gridCol w:w="1838"/>
        <w:gridCol w:w="4422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3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3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33" w:type="dxa"/>
            </w:tcMar>
          </w:tcPr>
          <w:p>
            <w:pPr>
              <w:pStyle w:val="Normal"/>
              <w:jc w:val="both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Исследовалась скорость записи данных в базу в зависимости от структуры таблиц. Во всех случаях было задействовано 4 ядра и использовались данные с разрешением 4 км на пиксель. В одном случае широты и долготы трансформировались в геометрический формат, понятный для различных ГИС. В этом случае таблица включала в себя два поля: радиояркостную температуру и поле типа «Geometry».  Во втором случае данные записывались без трансформации. В этом случае таблица состояла из трёх полей:  радиояркостной температуры, широты и долготы. В случае когда производилась трансформация задача выполнялась за 5 минут. Когда трансформация не производилась задача выполнялась за 2 минуты (со средней скоростью записи 18 000 записей в секунду на один поток), что удовлетворяет временному регламенту задачи наукастинга.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2023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31.0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7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.2023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2023-07-09T21:14:49Z</dcterms:modified>
  <cp:revision>37</cp:revision>
  <dc:title>Директору</dc:title>
</cp:coreProperties>
</file>