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октябре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2023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2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8" w:type="dxa"/>
          <w:bottom w:w="0" w:type="dxa"/>
          <w:right w:w="108" w:type="dxa"/>
        </w:tblCellMar>
      </w:tblPr>
      <w:tblGrid>
        <w:gridCol w:w="539"/>
        <w:gridCol w:w="1292"/>
        <w:gridCol w:w="1412"/>
        <w:gridCol w:w="1838"/>
        <w:gridCol w:w="4426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 xml:space="preserve">Изменения на сервере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Дальневосточного центра ФГБУ НИЦ “Планета” коснулись не только названий файлов но так же и их содержания. Была изменена константа отсутствия данных. Путем экспериментов было определено оптимальное количество ядер, требуемых для чтения данных и последующей записи их в бау данных в режиме параллельных вычислений. Так как 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запись в базу может производится только из одного потока, то множественные потоки создадут очередь из потоков, находящихся в режиме ожидания.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Число потоков меньше оптимального заметно увеличит количество данных, приходящихся на каждый поток. Оптимальное число потоков оказалось равно четырем. Время чтения и дальнейшей записи одного поля в базу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на 4 потоках не превышает 3 минут.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2023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1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.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1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0.2023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2023-10-18T17:14:54Z</dcterms:modified>
  <cp:revision>46</cp:revision>
  <dc:title>Директору</dc:title>
</cp:coreProperties>
</file>