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ноябре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28" w:type="dxa"/>
          <w:bottom w:w="0" w:type="dxa"/>
          <w:right w:w="108" w:type="dxa"/>
        </w:tblCellMar>
      </w:tblPr>
      <w:tblGrid>
        <w:gridCol w:w="539"/>
        <w:gridCol w:w="1295"/>
        <w:gridCol w:w="1412"/>
        <w:gridCol w:w="1838"/>
        <w:gridCol w:w="4423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Написание скриптов поиска и скачивания данных с сервера </w:t>
            </w:r>
            <w:r>
              <w:rPr>
                <w:color w:val="000000"/>
                <w:sz w:val="22"/>
                <w:szCs w:val="22"/>
                <w:lang w:val="en-US"/>
              </w:rPr>
              <w:t>Дальневосточного центра ФГБУ НИЦ “Планета”</w:t>
            </w:r>
            <w:r>
              <w:rPr>
                <w:color w:val="000000"/>
                <w:sz w:val="22"/>
                <w:szCs w:val="22"/>
              </w:rPr>
              <w:t xml:space="preserve">, полученных в последнем сеансе связи. Отладка скриптов.  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24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11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2023-11-15T18:39:53Z</dcterms:modified>
  <cp:revision>38</cp:revision>
  <dc:title>Директору</dc:title>
</cp:coreProperties>
</file>