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июне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2024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29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108" w:type="dxa"/>
        </w:tblCellMar>
      </w:tblPr>
      <w:tblGrid>
        <w:gridCol w:w="539"/>
        <w:gridCol w:w="1287"/>
        <w:gridCol w:w="1410"/>
        <w:gridCol w:w="1835"/>
        <w:gridCol w:w="4436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5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5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5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5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5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В период со 2 по 6 июня в отдельных пунктах северо-западной и центральной частях ЕТР за сутки выпадало свыше 30 мм осадков. Второй эпизод экстремальных осадков на ЕТР продолжался с 10 по 14 июня.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  <w:sz w:val="22"/>
                <w:szCs w:val="22"/>
              </w:rPr>
              <w:t xml:space="preserve">данным </w:t>
            </w:r>
            <w:r>
              <w:rPr>
                <w:color w:val="000000"/>
                <w:sz w:val="22"/>
                <w:szCs w:val="22"/>
              </w:rPr>
              <w:t xml:space="preserve">эпизодам экстремальных осадков  были созданы архивы значений радиояркостной температуры полученных со спутника Арктика-М 1. 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2024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6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.2024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2024-06-14T18:50:30Z</dcterms:modified>
  <cp:revision>46</cp:revision>
  <dc:title>Директору</dc:title>
</cp:coreProperties>
</file>