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4A9189D" w14:textId="77777777" w:rsidR="002B02EC" w:rsidRPr="005336A7" w:rsidRDefault="00946626" w:rsidP="00DB692B">
      <w:pPr>
        <w:widowControl w:val="0"/>
        <w:autoSpaceDE w:val="0"/>
        <w:spacing w:after="240"/>
        <w:ind w:left="-851" w:firstLine="1135"/>
        <w:rPr>
          <w:rFonts w:ascii="Corbel" w:hAnsi="Corbel" w:cs="Arial"/>
          <w:b/>
          <w:bCs/>
          <w:sz w:val="28"/>
          <w:szCs w:val="28"/>
          <w:lang w:val="en-GB"/>
        </w:rPr>
      </w:pPr>
      <w:r>
        <w:rPr>
          <w:rFonts w:ascii="Corbel" w:hAnsi="Corbel" w:cs="Arial"/>
          <w:noProof/>
          <w:lang w:val="en-US" w:eastAsia="ru-RU"/>
        </w:rPr>
        <w:drawing>
          <wp:inline distT="0" distB="0" distL="0" distR="0" wp14:anchorId="1FF15827" wp14:editId="08CF8898">
            <wp:extent cx="4984750" cy="7740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84750" cy="774065"/>
                    </a:xfrm>
                    <a:prstGeom prst="rect">
                      <a:avLst/>
                    </a:prstGeom>
                    <a:solidFill>
                      <a:srgbClr val="FFFFFF"/>
                    </a:solidFill>
                    <a:ln>
                      <a:noFill/>
                    </a:ln>
                  </pic:spPr>
                </pic:pic>
              </a:graphicData>
            </a:graphic>
          </wp:inline>
        </w:drawing>
      </w:r>
      <w:r>
        <w:rPr>
          <w:noProof/>
          <w:lang w:val="en-US" w:eastAsia="ru-RU"/>
        </w:rPr>
        <w:drawing>
          <wp:anchor distT="0" distB="0" distL="114300" distR="114300" simplePos="0" relativeHeight="251658240" behindDoc="0" locked="0" layoutInCell="1" allowOverlap="1" wp14:anchorId="1CB7DA15" wp14:editId="54360735">
            <wp:simplePos x="0" y="0"/>
            <wp:positionH relativeFrom="column">
              <wp:posOffset>5372100</wp:posOffset>
            </wp:positionH>
            <wp:positionV relativeFrom="paragraph">
              <wp:posOffset>-114300</wp:posOffset>
            </wp:positionV>
            <wp:extent cx="914400" cy="914400"/>
            <wp:effectExtent l="0" t="0" r="0" b="0"/>
            <wp:wrapNone/>
            <wp:docPr id="15" name="Изображение 3" descr="http://www.meteorf.ru/upload/iblock/b58/logo201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 descr="http://www.meteorf.ru/upload/iblock/b58/logo2015_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ru-RU"/>
        </w:rPr>
        <w:drawing>
          <wp:anchor distT="36195" distB="36195" distL="36195" distR="36195" simplePos="0" relativeHeight="251657216" behindDoc="0" locked="0" layoutInCell="1" allowOverlap="1" wp14:anchorId="37BF6335" wp14:editId="444DB1C2">
            <wp:simplePos x="0" y="0"/>
            <wp:positionH relativeFrom="column">
              <wp:posOffset>-732790</wp:posOffset>
            </wp:positionH>
            <wp:positionV relativeFrom="paragraph">
              <wp:posOffset>-269240</wp:posOffset>
            </wp:positionV>
            <wp:extent cx="791210" cy="1058545"/>
            <wp:effectExtent l="0" t="0" r="0" b="8255"/>
            <wp:wrapNone/>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1210" cy="105854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16223367" w14:textId="77777777" w:rsidR="002B02EC" w:rsidRPr="005336A7" w:rsidRDefault="002B02EC" w:rsidP="00124FD0">
      <w:pPr>
        <w:widowControl w:val="0"/>
        <w:autoSpaceDE w:val="0"/>
        <w:spacing w:after="240"/>
        <w:jc w:val="center"/>
        <w:rPr>
          <w:rFonts w:ascii="Times New Roman" w:hAnsi="Times New Roman"/>
          <w:b/>
          <w:bCs/>
          <w:sz w:val="28"/>
          <w:szCs w:val="28"/>
          <w:lang w:val="en-GB"/>
        </w:rPr>
      </w:pPr>
      <w:r w:rsidRPr="005336A7">
        <w:rPr>
          <w:rFonts w:ascii="Times New Roman" w:hAnsi="Times New Roman"/>
          <w:b/>
          <w:bCs/>
          <w:sz w:val="28"/>
          <w:szCs w:val="28"/>
          <w:lang w:val="en-GB"/>
        </w:rPr>
        <w:t>Eighteenth Session of the North Eurasian Climate Forum (NEACOF-18)</w:t>
      </w:r>
    </w:p>
    <w:p w14:paraId="391AAD57" w14:textId="77777777" w:rsidR="002B02EC" w:rsidRPr="005336A7" w:rsidRDefault="002B02EC" w:rsidP="00124FD0">
      <w:pPr>
        <w:widowControl w:val="0"/>
        <w:autoSpaceDE w:val="0"/>
        <w:spacing w:after="240"/>
        <w:jc w:val="center"/>
        <w:rPr>
          <w:rFonts w:ascii="Times New Roman" w:hAnsi="Times New Roman"/>
          <w:b/>
          <w:bCs/>
          <w:sz w:val="28"/>
          <w:szCs w:val="28"/>
          <w:lang w:val="en-GB"/>
        </w:rPr>
      </w:pPr>
      <w:r w:rsidRPr="005336A7">
        <w:rPr>
          <w:rFonts w:ascii="Times New Roman" w:hAnsi="Times New Roman"/>
          <w:b/>
          <w:bCs/>
          <w:sz w:val="28"/>
          <w:szCs w:val="28"/>
          <w:lang w:val="en-GB"/>
        </w:rPr>
        <w:t>May 19-20, 2020</w:t>
      </w:r>
    </w:p>
    <w:p w14:paraId="4F78C1EA" w14:textId="77777777" w:rsidR="002B02EC" w:rsidRPr="005336A7" w:rsidRDefault="002B02EC" w:rsidP="00124FD0">
      <w:pPr>
        <w:widowControl w:val="0"/>
        <w:autoSpaceDE w:val="0"/>
        <w:spacing w:after="240"/>
        <w:jc w:val="center"/>
        <w:rPr>
          <w:rFonts w:ascii="Times New Roman" w:hAnsi="Times New Roman"/>
          <w:b/>
          <w:bCs/>
          <w:sz w:val="28"/>
          <w:szCs w:val="28"/>
          <w:lang w:val="en-GB"/>
        </w:rPr>
      </w:pPr>
      <w:proofErr w:type="spellStart"/>
      <w:r w:rsidRPr="005336A7">
        <w:rPr>
          <w:rFonts w:ascii="Times New Roman" w:hAnsi="Times New Roman"/>
          <w:b/>
          <w:bCs/>
          <w:sz w:val="28"/>
          <w:szCs w:val="28"/>
          <w:lang w:val="en-GB"/>
        </w:rPr>
        <w:t>Сonsensus</w:t>
      </w:r>
      <w:proofErr w:type="spellEnd"/>
      <w:r w:rsidRPr="005336A7">
        <w:rPr>
          <w:rFonts w:ascii="Times New Roman" w:hAnsi="Times New Roman"/>
          <w:b/>
          <w:bCs/>
          <w:sz w:val="28"/>
          <w:szCs w:val="28"/>
          <w:lang w:val="en-GB"/>
        </w:rPr>
        <w:t xml:space="preserve"> statement</w:t>
      </w:r>
    </w:p>
    <w:p w14:paraId="66B409A5" w14:textId="77777777" w:rsidR="002B02EC" w:rsidRPr="005336A7" w:rsidRDefault="002B02EC" w:rsidP="00124FD0">
      <w:pPr>
        <w:widowControl w:val="0"/>
        <w:autoSpaceDE w:val="0"/>
        <w:spacing w:after="240"/>
        <w:rPr>
          <w:rFonts w:ascii="Times New Roman" w:hAnsi="Times New Roman"/>
          <w:b/>
          <w:bCs/>
          <w:lang w:val="en-GB"/>
        </w:rPr>
      </w:pPr>
      <w:r w:rsidRPr="005336A7">
        <w:rPr>
          <w:rFonts w:ascii="Times New Roman" w:hAnsi="Times New Roman"/>
          <w:b/>
          <w:bCs/>
          <w:lang w:val="en-GB"/>
        </w:rPr>
        <w:t>Introduction</w:t>
      </w:r>
    </w:p>
    <w:p w14:paraId="23E2DE67" w14:textId="77777777" w:rsidR="002B02EC" w:rsidRPr="005336A7" w:rsidRDefault="002B02EC" w:rsidP="00C06E7F">
      <w:pPr>
        <w:widowControl w:val="0"/>
        <w:autoSpaceDE w:val="0"/>
        <w:spacing w:after="240"/>
        <w:jc w:val="both"/>
        <w:rPr>
          <w:rFonts w:ascii="Times New Roman" w:hAnsi="Times New Roman"/>
          <w:bCs/>
          <w:lang w:val="en-GB"/>
        </w:rPr>
      </w:pPr>
      <w:r w:rsidRPr="005336A7">
        <w:rPr>
          <w:rFonts w:ascii="Times New Roman" w:hAnsi="Times New Roman"/>
          <w:bCs/>
          <w:lang w:val="en-GB"/>
        </w:rPr>
        <w:t xml:space="preserve">Fulfilling the international responsibilities of the Regional Climate Centre of WMO, the North-Eurasian Climate Centre (NEACC) held online the 18th session of the North-Eurasian Climate Outlook Forum (NEACOF-18) from 19 to 20 May 2020 on the base of the </w:t>
      </w:r>
      <w:proofErr w:type="spellStart"/>
      <w:r w:rsidRPr="005336A7">
        <w:rPr>
          <w:rFonts w:ascii="Times New Roman" w:hAnsi="Times New Roman"/>
          <w:bCs/>
          <w:lang w:val="en-GB"/>
        </w:rPr>
        <w:t>Hydrometcentre</w:t>
      </w:r>
      <w:proofErr w:type="spellEnd"/>
      <w:r w:rsidRPr="005336A7">
        <w:rPr>
          <w:rFonts w:ascii="Times New Roman" w:hAnsi="Times New Roman"/>
          <w:bCs/>
          <w:lang w:val="en-GB"/>
        </w:rPr>
        <w:t xml:space="preserve"> of Russia. </w:t>
      </w:r>
    </w:p>
    <w:p w14:paraId="517AD8A1" w14:textId="77777777" w:rsidR="002B02EC" w:rsidRPr="005336A7" w:rsidRDefault="002B02EC" w:rsidP="00C06E7F">
      <w:pPr>
        <w:widowControl w:val="0"/>
        <w:autoSpaceDE w:val="0"/>
        <w:spacing w:after="240"/>
        <w:jc w:val="both"/>
        <w:rPr>
          <w:rFonts w:ascii="Times New Roman" w:hAnsi="Times New Roman"/>
          <w:bCs/>
          <w:lang w:val="en-GB"/>
        </w:rPr>
      </w:pPr>
      <w:r w:rsidRPr="005336A7">
        <w:rPr>
          <w:rFonts w:ascii="Times New Roman" w:hAnsi="Times New Roman"/>
          <w:bCs/>
          <w:lang w:val="en-GB"/>
        </w:rPr>
        <w:t xml:space="preserve">The first day of NEACOF-18 (May 19, 2020) was organized in the form of a training seminar. The </w:t>
      </w:r>
      <w:proofErr w:type="gramStart"/>
      <w:r w:rsidRPr="005336A7">
        <w:rPr>
          <w:rFonts w:ascii="Times New Roman" w:hAnsi="Times New Roman"/>
          <w:bCs/>
          <w:lang w:val="en-GB"/>
        </w:rPr>
        <w:t>lectures</w:t>
      </w:r>
      <w:proofErr w:type="gramEnd"/>
      <w:r w:rsidRPr="005336A7">
        <w:rPr>
          <w:rFonts w:ascii="Times New Roman" w:hAnsi="Times New Roman"/>
          <w:bCs/>
          <w:lang w:val="en-GB"/>
        </w:rPr>
        <w:t xml:space="preserve"> of leading NEACC experts were presented, each concluded by follow</w:t>
      </w:r>
      <w:r>
        <w:rPr>
          <w:rFonts w:ascii="Times New Roman" w:hAnsi="Times New Roman"/>
          <w:bCs/>
          <w:lang w:val="en-GB"/>
        </w:rPr>
        <w:t>-</w:t>
      </w:r>
      <w:r w:rsidRPr="005336A7">
        <w:rPr>
          <w:rFonts w:ascii="Times New Roman" w:hAnsi="Times New Roman"/>
          <w:bCs/>
          <w:lang w:val="en-GB"/>
        </w:rPr>
        <w:t>up discussions on the development of methods and technologies of climate forecasting, analysis and predictability of atmospheric variability, and practical use of climate information.</w:t>
      </w:r>
    </w:p>
    <w:p w14:paraId="70D56FB4" w14:textId="77777777" w:rsidR="002B02EC" w:rsidRPr="005336A7" w:rsidRDefault="002B02EC" w:rsidP="00C06E7F">
      <w:pPr>
        <w:widowControl w:val="0"/>
        <w:autoSpaceDE w:val="0"/>
        <w:spacing w:after="240"/>
        <w:jc w:val="both"/>
        <w:rPr>
          <w:rFonts w:ascii="Times New Roman" w:hAnsi="Times New Roman"/>
          <w:bCs/>
          <w:lang w:val="en-GB"/>
        </w:rPr>
      </w:pPr>
      <w:r w:rsidRPr="005336A7">
        <w:rPr>
          <w:rFonts w:ascii="Times New Roman" w:hAnsi="Times New Roman"/>
          <w:bCs/>
          <w:lang w:val="en-GB"/>
        </w:rPr>
        <w:t>On the second day of NEACOF-18, climate monitoring and seasonal forecasting issues were discussed based on the input from NHMSs of the CIS countries and other forecast centres with the main goal of developing a consensus forecast of surface air temperature and precipitation for the upcoming summer season 2020 over northern Eurasia.</w:t>
      </w:r>
    </w:p>
    <w:p w14:paraId="472B36B7" w14:textId="77777777" w:rsidR="002B02EC" w:rsidRPr="005336A7" w:rsidRDefault="002B02EC" w:rsidP="00C775EA">
      <w:pPr>
        <w:widowControl w:val="0"/>
        <w:autoSpaceDE w:val="0"/>
        <w:spacing w:after="240"/>
        <w:jc w:val="both"/>
        <w:rPr>
          <w:rFonts w:ascii="Times New Roman" w:hAnsi="Times New Roman"/>
          <w:bCs/>
          <w:lang w:val="en-GB"/>
        </w:rPr>
      </w:pPr>
      <w:r w:rsidRPr="005336A7">
        <w:rPr>
          <w:rFonts w:ascii="Times New Roman" w:hAnsi="Times New Roman"/>
          <w:bCs/>
          <w:lang w:val="en-GB"/>
        </w:rPr>
        <w:t xml:space="preserve">NEACOF-18 gathered representatives of Secretariat of the WMO, specialists from the </w:t>
      </w:r>
      <w:proofErr w:type="spellStart"/>
      <w:r w:rsidRPr="005336A7">
        <w:rPr>
          <w:rFonts w:ascii="Times New Roman" w:hAnsi="Times New Roman"/>
          <w:bCs/>
          <w:lang w:val="en-GB"/>
        </w:rPr>
        <w:t>Hydrometcentre</w:t>
      </w:r>
      <w:proofErr w:type="spellEnd"/>
      <w:r w:rsidRPr="005336A7">
        <w:rPr>
          <w:rFonts w:ascii="Times New Roman" w:hAnsi="Times New Roman"/>
          <w:bCs/>
          <w:lang w:val="en-GB"/>
        </w:rPr>
        <w:t xml:space="preserve"> of Russia, A.I. </w:t>
      </w:r>
      <w:proofErr w:type="spellStart"/>
      <w:r w:rsidRPr="005336A7">
        <w:rPr>
          <w:rFonts w:ascii="Times New Roman" w:hAnsi="Times New Roman"/>
          <w:bCs/>
          <w:lang w:val="en-GB"/>
        </w:rPr>
        <w:t>Voeikov</w:t>
      </w:r>
      <w:proofErr w:type="spellEnd"/>
      <w:r w:rsidRPr="005336A7">
        <w:rPr>
          <w:rFonts w:ascii="Times New Roman" w:hAnsi="Times New Roman"/>
          <w:bCs/>
          <w:lang w:val="en-GB"/>
        </w:rPr>
        <w:t xml:space="preserve"> Main Geophysical Observatory</w:t>
      </w:r>
      <w:proofErr w:type="gramStart"/>
      <w:r w:rsidRPr="005336A7">
        <w:rPr>
          <w:rFonts w:ascii="Times New Roman" w:hAnsi="Times New Roman"/>
          <w:bCs/>
          <w:lang w:val="en-GB"/>
        </w:rPr>
        <w:t>,  Arctic</w:t>
      </w:r>
      <w:proofErr w:type="gramEnd"/>
      <w:r w:rsidRPr="005336A7">
        <w:rPr>
          <w:rFonts w:ascii="Times New Roman" w:hAnsi="Times New Roman"/>
          <w:bCs/>
          <w:lang w:val="en-GB"/>
        </w:rPr>
        <w:t xml:space="preserve"> and Antarctic Research Institute, Regional Training Centre of WMO in </w:t>
      </w:r>
      <w:proofErr w:type="spellStart"/>
      <w:r w:rsidRPr="005336A7">
        <w:rPr>
          <w:rFonts w:ascii="Times New Roman" w:hAnsi="Times New Roman"/>
          <w:bCs/>
          <w:lang w:val="en-GB"/>
        </w:rPr>
        <w:t>Roshydromet</w:t>
      </w:r>
      <w:proofErr w:type="spellEnd"/>
      <w:r w:rsidRPr="005336A7">
        <w:rPr>
          <w:rFonts w:ascii="Times New Roman" w:hAnsi="Times New Roman"/>
          <w:bCs/>
          <w:lang w:val="en-GB"/>
        </w:rPr>
        <w:t xml:space="preserve">. </w:t>
      </w:r>
      <w:proofErr w:type="gramStart"/>
      <w:r w:rsidRPr="005336A7">
        <w:rPr>
          <w:rFonts w:ascii="Times New Roman" w:hAnsi="Times New Roman"/>
          <w:bCs/>
          <w:lang w:val="en-GB"/>
        </w:rPr>
        <w:t>NHMS of Armenia, Belarus, Kazakhstan, Kyrgyzstan, Moldova, Russia, an</w:t>
      </w:r>
      <w:r w:rsidR="00640506">
        <w:rPr>
          <w:rFonts w:ascii="Times New Roman" w:hAnsi="Times New Roman"/>
          <w:bCs/>
          <w:lang w:val="en-GB"/>
        </w:rPr>
        <w:t>d Uzbekistan.</w:t>
      </w:r>
      <w:proofErr w:type="gramEnd"/>
      <w:r w:rsidRPr="005336A7">
        <w:rPr>
          <w:rFonts w:ascii="Times New Roman" w:hAnsi="Times New Roman"/>
          <w:bCs/>
          <w:lang w:val="en-GB"/>
        </w:rPr>
        <w:t xml:space="preserve"> </w:t>
      </w:r>
    </w:p>
    <w:p w14:paraId="5FDEDABA" w14:textId="77777777" w:rsidR="002B02EC" w:rsidRPr="005336A7" w:rsidRDefault="002B02EC" w:rsidP="00124FD0">
      <w:pPr>
        <w:suppressAutoHyphens w:val="0"/>
        <w:kinsoku w:val="0"/>
        <w:overflowPunct w:val="0"/>
        <w:jc w:val="both"/>
        <w:textAlignment w:val="baseline"/>
        <w:rPr>
          <w:rFonts w:ascii="Times New Roman" w:hAnsi="Times New Roman"/>
          <w:b/>
          <w:bCs/>
          <w:lang w:val="en-GB"/>
        </w:rPr>
      </w:pPr>
      <w:r w:rsidRPr="005336A7">
        <w:rPr>
          <w:rFonts w:ascii="Times New Roman" w:hAnsi="Times New Roman"/>
          <w:b/>
          <w:bCs/>
          <w:lang w:val="en-GB"/>
        </w:rPr>
        <w:t>The main features of atmospheric circulation in DJF 2019/2020</w:t>
      </w:r>
    </w:p>
    <w:p w14:paraId="037A0005" w14:textId="77777777" w:rsidR="002B02EC" w:rsidRPr="005336A7" w:rsidRDefault="002B02EC" w:rsidP="00124FD0">
      <w:pPr>
        <w:suppressAutoHyphens w:val="0"/>
        <w:kinsoku w:val="0"/>
        <w:overflowPunct w:val="0"/>
        <w:jc w:val="both"/>
        <w:textAlignment w:val="baseline"/>
        <w:rPr>
          <w:rFonts w:ascii="Times New Roman" w:hAnsi="Times New Roman"/>
          <w:b/>
          <w:bCs/>
          <w:lang w:val="en-GB"/>
        </w:rPr>
      </w:pPr>
    </w:p>
    <w:p w14:paraId="7A5F6940" w14:textId="77777777" w:rsidR="002B02EC" w:rsidRPr="005336A7" w:rsidRDefault="002B02EC" w:rsidP="00124FD0">
      <w:pPr>
        <w:suppressAutoHyphens w:val="0"/>
        <w:kinsoku w:val="0"/>
        <w:overflowPunct w:val="0"/>
        <w:jc w:val="both"/>
        <w:textAlignment w:val="baseline"/>
        <w:rPr>
          <w:rFonts w:ascii="Times New Roman" w:hAnsi="Times New Roman"/>
          <w:color w:val="000000"/>
          <w:kern w:val="24"/>
          <w:lang w:val="en-GB" w:eastAsia="ru-RU"/>
        </w:rPr>
      </w:pPr>
      <w:r w:rsidRPr="005336A7">
        <w:rPr>
          <w:rFonts w:ascii="Times New Roman" w:hAnsi="Times New Roman"/>
          <w:bCs/>
          <w:lang w:val="en-GB"/>
        </w:rPr>
        <w:t xml:space="preserve">An intensive and deep circumpolar vortex in the stratosphere with the centre over the Franz Josef Land was observed during DJF 2019/2020. The </w:t>
      </w:r>
      <w:proofErr w:type="spellStart"/>
      <w:r w:rsidRPr="005336A7">
        <w:rPr>
          <w:rFonts w:ascii="Times New Roman" w:hAnsi="Times New Roman"/>
          <w:bCs/>
          <w:lang w:val="en-GB"/>
        </w:rPr>
        <w:t>geopotential</w:t>
      </w:r>
      <w:proofErr w:type="spellEnd"/>
      <w:r w:rsidRPr="005336A7">
        <w:rPr>
          <w:rFonts w:ascii="Times New Roman" w:hAnsi="Times New Roman"/>
          <w:bCs/>
          <w:lang w:val="en-GB"/>
        </w:rPr>
        <w:t xml:space="preserve"> in the centre of the cyclone was significantly lower than normal (the average seasonal anomaly was about -90 dam). The </w:t>
      </w:r>
      <w:proofErr w:type="spellStart"/>
      <w:r w:rsidRPr="005336A7">
        <w:rPr>
          <w:rFonts w:ascii="Times New Roman" w:hAnsi="Times New Roman"/>
          <w:bCs/>
          <w:lang w:val="en-GB"/>
        </w:rPr>
        <w:t>startospheric</w:t>
      </w:r>
      <w:proofErr w:type="spellEnd"/>
      <w:r w:rsidRPr="005336A7">
        <w:rPr>
          <w:rFonts w:ascii="Times New Roman" w:hAnsi="Times New Roman"/>
          <w:bCs/>
          <w:lang w:val="en-GB"/>
        </w:rPr>
        <w:t xml:space="preserve"> cyclone had been stable and cold until a sudden stratospheric warming event occurred in March 2020. Such conditions led to the formation of polar stratospheric clouds and, judging by preliminary estimates, to a record-breaking depletion of the ozone layer in the Arctic since 2011. Stratospheric anticyclones over the North Pacific Ocean were intensive, and often spread to the western and central regions of the USA and Canada during the season. The maximum values of positive anomalies were over central Canada where they reached + 38 dam (Fig. 1a).</w:t>
      </w:r>
    </w:p>
    <w:tbl>
      <w:tblPr>
        <w:tblW w:w="14239" w:type="dxa"/>
        <w:tblInd w:w="-1701" w:type="dxa"/>
        <w:tblLook w:val="00A0" w:firstRow="1" w:lastRow="0" w:firstColumn="1" w:lastColumn="0" w:noHBand="0" w:noVBand="0"/>
      </w:tblPr>
      <w:tblGrid>
        <w:gridCol w:w="4786"/>
        <w:gridCol w:w="3685"/>
        <w:gridCol w:w="5768"/>
      </w:tblGrid>
      <w:tr w:rsidR="002B02EC" w:rsidRPr="005336A7" w14:paraId="3DCC4DC1" w14:textId="77777777" w:rsidTr="00C974BB">
        <w:tc>
          <w:tcPr>
            <w:tcW w:w="4786" w:type="dxa"/>
          </w:tcPr>
          <w:p w14:paraId="3955A740" w14:textId="77777777" w:rsidR="002B02EC" w:rsidRPr="005336A7" w:rsidRDefault="002B02EC" w:rsidP="00C974BB">
            <w:pPr>
              <w:suppressAutoHyphens w:val="0"/>
              <w:kinsoku w:val="0"/>
              <w:overflowPunct w:val="0"/>
              <w:ind w:left="1134" w:right="-250" w:hanging="142"/>
              <w:jc w:val="both"/>
              <w:textAlignment w:val="baseline"/>
              <w:rPr>
                <w:rFonts w:ascii="Times New Roman" w:hAnsi="Times New Roman"/>
                <w:noProof/>
                <w:color w:val="000000"/>
                <w:kern w:val="24"/>
                <w:lang w:val="en-GB" w:eastAsia="ru-RU"/>
              </w:rPr>
            </w:pPr>
            <w:r w:rsidRPr="005336A7">
              <w:rPr>
                <w:rFonts w:ascii="Times New Roman" w:hAnsi="Times New Roman"/>
                <w:noProof/>
                <w:color w:val="000000"/>
                <w:kern w:val="24"/>
                <w:sz w:val="22"/>
                <w:szCs w:val="22"/>
                <w:lang w:val="en-GB" w:eastAsia="ru-RU"/>
              </w:rPr>
              <w:lastRenderedPageBreak/>
              <w:t xml:space="preserve">       </w:t>
            </w:r>
            <w:r w:rsidR="00946626">
              <w:rPr>
                <w:rFonts w:ascii="Times New Roman" w:hAnsi="Times New Roman"/>
                <w:noProof/>
                <w:color w:val="000000"/>
                <w:kern w:val="24"/>
                <w:lang w:val="en-US" w:eastAsia="ru-RU"/>
              </w:rPr>
              <w:drawing>
                <wp:inline distT="0" distB="0" distL="0" distR="0" wp14:anchorId="73A94095" wp14:editId="3F1F7D8E">
                  <wp:extent cx="2094230" cy="1998345"/>
                  <wp:effectExtent l="0" t="0" r="0" b="8255"/>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4230" cy="1998345"/>
                          </a:xfrm>
                          <a:prstGeom prst="rect">
                            <a:avLst/>
                          </a:prstGeom>
                          <a:noFill/>
                          <a:ln>
                            <a:noFill/>
                          </a:ln>
                        </pic:spPr>
                      </pic:pic>
                    </a:graphicData>
                  </a:graphic>
                </wp:inline>
              </w:drawing>
            </w:r>
          </w:p>
          <w:p w14:paraId="25FE046A" w14:textId="77777777" w:rsidR="002B02EC" w:rsidRPr="005336A7" w:rsidRDefault="002B02EC" w:rsidP="0099510E">
            <w:pPr>
              <w:suppressAutoHyphens w:val="0"/>
              <w:kinsoku w:val="0"/>
              <w:overflowPunct w:val="0"/>
              <w:jc w:val="both"/>
              <w:textAlignment w:val="baseline"/>
              <w:rPr>
                <w:rFonts w:ascii="Times New Roman" w:hAnsi="Times New Roman"/>
                <w:color w:val="000000"/>
                <w:kern w:val="24"/>
                <w:lang w:val="en-GB" w:eastAsia="ru-RU"/>
              </w:rPr>
            </w:pPr>
            <w:r w:rsidRPr="005336A7">
              <w:rPr>
                <w:rFonts w:ascii="Times New Roman" w:hAnsi="Times New Roman"/>
                <w:noProof/>
                <w:color w:val="000000"/>
                <w:kern w:val="24"/>
                <w:sz w:val="22"/>
                <w:szCs w:val="22"/>
                <w:lang w:val="en-GB" w:eastAsia="ru-RU"/>
              </w:rPr>
              <w:t xml:space="preserve">                            a)</w:t>
            </w:r>
          </w:p>
        </w:tc>
        <w:tc>
          <w:tcPr>
            <w:tcW w:w="3685" w:type="dxa"/>
          </w:tcPr>
          <w:p w14:paraId="1CFC18E6" w14:textId="77777777" w:rsidR="002B02EC" w:rsidRPr="005336A7" w:rsidRDefault="002B02EC" w:rsidP="0099510E">
            <w:pPr>
              <w:suppressAutoHyphens w:val="0"/>
              <w:kinsoku w:val="0"/>
              <w:overflowPunct w:val="0"/>
              <w:jc w:val="both"/>
              <w:textAlignment w:val="baseline"/>
              <w:rPr>
                <w:rFonts w:ascii="Times New Roman" w:hAnsi="Times New Roman"/>
                <w:color w:val="000000"/>
                <w:kern w:val="24"/>
                <w:lang w:val="en-GB" w:eastAsia="ru-RU"/>
              </w:rPr>
            </w:pPr>
          </w:p>
          <w:p w14:paraId="0E53E07C" w14:textId="77777777" w:rsidR="002B02EC" w:rsidRPr="005336A7" w:rsidRDefault="00946626" w:rsidP="00C974BB">
            <w:pPr>
              <w:tabs>
                <w:tab w:val="left" w:pos="317"/>
              </w:tabs>
              <w:suppressAutoHyphens w:val="0"/>
              <w:kinsoku w:val="0"/>
              <w:overflowPunct w:val="0"/>
              <w:jc w:val="both"/>
              <w:textAlignment w:val="baseline"/>
              <w:rPr>
                <w:rFonts w:ascii="Times New Roman" w:hAnsi="Times New Roman"/>
                <w:color w:val="000000"/>
                <w:kern w:val="24"/>
                <w:lang w:val="en-GB" w:eastAsia="ru-RU"/>
              </w:rPr>
            </w:pPr>
            <w:r>
              <w:rPr>
                <w:rFonts w:ascii="Times New Roman" w:hAnsi="Times New Roman"/>
                <w:noProof/>
                <w:color w:val="000000"/>
                <w:kern w:val="24"/>
                <w:lang w:val="en-US" w:eastAsia="ru-RU"/>
              </w:rPr>
              <w:drawing>
                <wp:inline distT="0" distB="0" distL="0" distR="0" wp14:anchorId="362079F1" wp14:editId="16F2E5B9">
                  <wp:extent cx="1976120" cy="1828800"/>
                  <wp:effectExtent l="0" t="0" r="508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6120" cy="1828800"/>
                          </a:xfrm>
                          <a:prstGeom prst="rect">
                            <a:avLst/>
                          </a:prstGeom>
                          <a:noFill/>
                          <a:ln>
                            <a:noFill/>
                          </a:ln>
                        </pic:spPr>
                      </pic:pic>
                    </a:graphicData>
                  </a:graphic>
                </wp:inline>
              </w:drawing>
            </w:r>
          </w:p>
          <w:p w14:paraId="42D7BFFA" w14:textId="77777777" w:rsidR="002B02EC" w:rsidRPr="005336A7" w:rsidRDefault="002B02EC" w:rsidP="00C974BB">
            <w:pPr>
              <w:tabs>
                <w:tab w:val="left" w:pos="317"/>
              </w:tabs>
              <w:suppressAutoHyphens w:val="0"/>
              <w:kinsoku w:val="0"/>
              <w:overflowPunct w:val="0"/>
              <w:jc w:val="both"/>
              <w:textAlignment w:val="baseline"/>
              <w:rPr>
                <w:rFonts w:ascii="Times New Roman" w:hAnsi="Times New Roman"/>
                <w:color w:val="000000"/>
                <w:kern w:val="24"/>
                <w:lang w:val="en-GB" w:eastAsia="ru-RU"/>
              </w:rPr>
            </w:pPr>
            <w:proofErr w:type="gramStart"/>
            <w:r w:rsidRPr="005336A7">
              <w:rPr>
                <w:rFonts w:ascii="Times New Roman" w:hAnsi="Times New Roman"/>
                <w:color w:val="000000"/>
                <w:kern w:val="24"/>
                <w:sz w:val="22"/>
                <w:szCs w:val="22"/>
                <w:lang w:val="en-GB" w:eastAsia="ru-RU"/>
              </w:rPr>
              <w:t>b</w:t>
            </w:r>
            <w:proofErr w:type="gramEnd"/>
            <w:r w:rsidRPr="005336A7">
              <w:rPr>
                <w:rFonts w:ascii="Times New Roman" w:hAnsi="Times New Roman"/>
                <w:color w:val="000000"/>
                <w:kern w:val="24"/>
                <w:sz w:val="22"/>
                <w:szCs w:val="22"/>
                <w:lang w:val="en-GB" w:eastAsia="ru-RU"/>
              </w:rPr>
              <w:t>)</w:t>
            </w:r>
          </w:p>
          <w:p w14:paraId="69ECA5DF" w14:textId="77777777" w:rsidR="002B02EC" w:rsidRPr="005336A7" w:rsidRDefault="002B02EC" w:rsidP="00C974BB">
            <w:pPr>
              <w:tabs>
                <w:tab w:val="left" w:pos="317"/>
              </w:tabs>
              <w:suppressAutoHyphens w:val="0"/>
              <w:kinsoku w:val="0"/>
              <w:overflowPunct w:val="0"/>
              <w:jc w:val="both"/>
              <w:textAlignment w:val="baseline"/>
              <w:rPr>
                <w:rFonts w:ascii="Times New Roman" w:hAnsi="Times New Roman"/>
                <w:color w:val="000000"/>
                <w:kern w:val="24"/>
                <w:lang w:val="en-GB" w:eastAsia="ru-RU"/>
              </w:rPr>
            </w:pPr>
            <w:r w:rsidRPr="005336A7">
              <w:rPr>
                <w:rFonts w:ascii="Times New Roman" w:hAnsi="Times New Roman"/>
                <w:noProof/>
                <w:lang w:val="en-GB" w:eastAsia="ru-RU"/>
              </w:rPr>
              <w:t xml:space="preserve"> </w:t>
            </w:r>
          </w:p>
        </w:tc>
        <w:tc>
          <w:tcPr>
            <w:tcW w:w="5768" w:type="dxa"/>
          </w:tcPr>
          <w:p w14:paraId="36A443DD" w14:textId="77777777" w:rsidR="002B02EC" w:rsidRPr="005336A7" w:rsidRDefault="002B02EC" w:rsidP="006B513D">
            <w:pPr>
              <w:suppressAutoHyphens w:val="0"/>
              <w:kinsoku w:val="0"/>
              <w:overflowPunct w:val="0"/>
              <w:ind w:left="-406" w:firstLine="284"/>
              <w:jc w:val="both"/>
              <w:textAlignment w:val="baseline"/>
              <w:rPr>
                <w:rFonts w:ascii="Times New Roman" w:hAnsi="Times New Roman"/>
                <w:color w:val="000000"/>
                <w:kern w:val="24"/>
                <w:lang w:val="en-GB" w:eastAsia="ru-RU"/>
              </w:rPr>
            </w:pPr>
          </w:p>
          <w:p w14:paraId="56CC45AF" w14:textId="77777777" w:rsidR="002B02EC" w:rsidRPr="005336A7" w:rsidRDefault="002B02EC" w:rsidP="00C974BB">
            <w:pPr>
              <w:suppressAutoHyphens w:val="0"/>
              <w:kinsoku w:val="0"/>
              <w:overflowPunct w:val="0"/>
              <w:ind w:left="-249"/>
              <w:jc w:val="both"/>
              <w:textAlignment w:val="baseline"/>
              <w:rPr>
                <w:rFonts w:ascii="Times New Roman" w:hAnsi="Times New Roman"/>
                <w:color w:val="000000"/>
                <w:kern w:val="24"/>
                <w:lang w:val="en-GB" w:eastAsia="ru-RU"/>
              </w:rPr>
            </w:pPr>
          </w:p>
          <w:p w14:paraId="759A2097" w14:textId="77777777" w:rsidR="002B02EC" w:rsidRPr="005336A7" w:rsidRDefault="00946626" w:rsidP="00C974BB">
            <w:pPr>
              <w:suppressAutoHyphens w:val="0"/>
              <w:kinsoku w:val="0"/>
              <w:overflowPunct w:val="0"/>
              <w:ind w:left="-249" w:firstLine="142"/>
              <w:jc w:val="both"/>
              <w:textAlignment w:val="baseline"/>
              <w:rPr>
                <w:rFonts w:ascii="Times New Roman" w:hAnsi="Times New Roman"/>
                <w:color w:val="000000"/>
                <w:kern w:val="24"/>
                <w:lang w:val="en-GB" w:eastAsia="ru-RU"/>
              </w:rPr>
            </w:pPr>
            <w:r>
              <w:rPr>
                <w:rFonts w:ascii="Times New Roman" w:hAnsi="Times New Roman"/>
                <w:noProof/>
                <w:color w:val="000000"/>
                <w:kern w:val="24"/>
                <w:lang w:val="en-US" w:eastAsia="ru-RU"/>
              </w:rPr>
              <w:drawing>
                <wp:inline distT="0" distB="0" distL="0" distR="0" wp14:anchorId="7F63B582" wp14:editId="2F372B1F">
                  <wp:extent cx="1828800" cy="1673860"/>
                  <wp:effectExtent l="0" t="0" r="0" b="2540"/>
                  <wp:docPr id="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
                            <a:extLst>
                              <a:ext uri="{28A0092B-C50C-407E-A947-70E740481C1C}">
                                <a14:useLocalDpi xmlns:a14="http://schemas.microsoft.com/office/drawing/2010/main" val="0"/>
                              </a:ext>
                            </a:extLst>
                          </a:blip>
                          <a:srcRect r="6134"/>
                          <a:stretch>
                            <a:fillRect/>
                          </a:stretch>
                        </pic:blipFill>
                        <pic:spPr bwMode="auto">
                          <a:xfrm>
                            <a:off x="0" y="0"/>
                            <a:ext cx="1828800" cy="1673860"/>
                          </a:xfrm>
                          <a:prstGeom prst="rect">
                            <a:avLst/>
                          </a:prstGeom>
                          <a:noFill/>
                          <a:ln>
                            <a:noFill/>
                          </a:ln>
                        </pic:spPr>
                      </pic:pic>
                    </a:graphicData>
                  </a:graphic>
                </wp:inline>
              </w:drawing>
            </w:r>
          </w:p>
          <w:p w14:paraId="34E12EC7" w14:textId="77777777" w:rsidR="002B02EC" w:rsidRPr="005336A7" w:rsidRDefault="002B02EC" w:rsidP="00C974BB">
            <w:pPr>
              <w:suppressAutoHyphens w:val="0"/>
              <w:kinsoku w:val="0"/>
              <w:overflowPunct w:val="0"/>
              <w:ind w:left="-249" w:firstLine="142"/>
              <w:jc w:val="both"/>
              <w:textAlignment w:val="baseline"/>
              <w:rPr>
                <w:rFonts w:ascii="Times New Roman" w:hAnsi="Times New Roman"/>
                <w:color w:val="000000"/>
                <w:kern w:val="24"/>
                <w:lang w:val="en-GB" w:eastAsia="ru-RU"/>
              </w:rPr>
            </w:pPr>
            <w:r w:rsidRPr="005336A7">
              <w:rPr>
                <w:rFonts w:ascii="Times New Roman" w:hAnsi="Times New Roman"/>
                <w:color w:val="000000"/>
                <w:kern w:val="24"/>
                <w:sz w:val="22"/>
                <w:szCs w:val="22"/>
                <w:lang w:val="en-GB" w:eastAsia="ru-RU"/>
              </w:rPr>
              <w:t>c)</w:t>
            </w:r>
          </w:p>
        </w:tc>
      </w:tr>
    </w:tbl>
    <w:p w14:paraId="61CFA733" w14:textId="77777777" w:rsidR="002B02EC" w:rsidRPr="005336A7" w:rsidRDefault="002B02EC" w:rsidP="00E14748">
      <w:pPr>
        <w:suppressAutoHyphens w:val="0"/>
        <w:kinsoku w:val="0"/>
        <w:overflowPunct w:val="0"/>
        <w:jc w:val="both"/>
        <w:textAlignment w:val="baseline"/>
        <w:rPr>
          <w:rFonts w:ascii="Times New Roman" w:hAnsi="Times New Roman" w:cs="Calibri"/>
          <w:bCs/>
          <w:color w:val="000000"/>
          <w:kern w:val="24"/>
          <w:sz w:val="20"/>
          <w:szCs w:val="20"/>
          <w:lang w:val="en-GB" w:eastAsia="ru-RU"/>
        </w:rPr>
      </w:pPr>
      <w:r w:rsidRPr="005336A7">
        <w:rPr>
          <w:rFonts w:ascii="Times New Roman" w:hAnsi="Times New Roman" w:cs="Calibri"/>
          <w:bCs/>
          <w:color w:val="000000"/>
          <w:kern w:val="24"/>
          <w:sz w:val="20"/>
          <w:szCs w:val="20"/>
          <w:lang w:val="en-GB" w:eastAsia="ru-RU"/>
        </w:rPr>
        <w:t xml:space="preserve">Figure 1. Maps of anomalies of </w:t>
      </w:r>
      <w:proofErr w:type="spellStart"/>
      <w:r w:rsidRPr="005336A7">
        <w:rPr>
          <w:rFonts w:ascii="Times New Roman" w:hAnsi="Times New Roman" w:cs="Calibri"/>
          <w:bCs/>
          <w:color w:val="000000"/>
          <w:kern w:val="24"/>
          <w:sz w:val="20"/>
          <w:szCs w:val="20"/>
          <w:lang w:val="en-GB" w:eastAsia="ru-RU"/>
        </w:rPr>
        <w:t>geopotential</w:t>
      </w:r>
      <w:proofErr w:type="spellEnd"/>
      <w:r w:rsidRPr="005336A7">
        <w:rPr>
          <w:rFonts w:ascii="Times New Roman" w:hAnsi="Times New Roman" w:cs="Calibri"/>
          <w:bCs/>
          <w:color w:val="000000"/>
          <w:kern w:val="24"/>
          <w:sz w:val="20"/>
          <w:szCs w:val="20"/>
          <w:lang w:val="en-GB" w:eastAsia="ru-RU"/>
        </w:rPr>
        <w:t xml:space="preserve"> with reference to 1981-2010 and absolute values based on NCEP / NCAR reanalysis, DJF 2019/2020 a) at the H10 </w:t>
      </w:r>
      <w:proofErr w:type="spellStart"/>
      <w:r w:rsidRPr="005336A7">
        <w:rPr>
          <w:rFonts w:ascii="Times New Roman" w:hAnsi="Times New Roman" w:cs="Calibri"/>
          <w:bCs/>
          <w:color w:val="000000"/>
          <w:kern w:val="24"/>
          <w:sz w:val="20"/>
          <w:szCs w:val="20"/>
          <w:lang w:val="en-GB" w:eastAsia="ru-RU"/>
        </w:rPr>
        <w:t>hPa</w:t>
      </w:r>
      <w:proofErr w:type="spellEnd"/>
      <w:r w:rsidRPr="005336A7">
        <w:rPr>
          <w:rFonts w:ascii="Times New Roman" w:hAnsi="Times New Roman" w:cs="Calibri"/>
          <w:bCs/>
          <w:color w:val="000000"/>
          <w:kern w:val="24"/>
          <w:sz w:val="20"/>
          <w:szCs w:val="20"/>
          <w:lang w:val="en-GB" w:eastAsia="ru-RU"/>
        </w:rPr>
        <w:t xml:space="preserve">, b) at the H500 </w:t>
      </w:r>
      <w:proofErr w:type="spellStart"/>
      <w:r w:rsidRPr="005336A7">
        <w:rPr>
          <w:rFonts w:ascii="Times New Roman" w:hAnsi="Times New Roman" w:cs="Calibri"/>
          <w:bCs/>
          <w:color w:val="000000"/>
          <w:kern w:val="24"/>
          <w:sz w:val="20"/>
          <w:szCs w:val="20"/>
          <w:lang w:val="en-GB" w:eastAsia="ru-RU"/>
        </w:rPr>
        <w:t>hPa</w:t>
      </w:r>
      <w:proofErr w:type="spellEnd"/>
      <w:r w:rsidRPr="005336A7">
        <w:rPr>
          <w:rFonts w:ascii="Times New Roman" w:hAnsi="Times New Roman" w:cs="Calibri"/>
          <w:bCs/>
          <w:color w:val="000000"/>
          <w:kern w:val="24"/>
          <w:sz w:val="20"/>
          <w:szCs w:val="20"/>
          <w:lang w:val="en-GB" w:eastAsia="ru-RU"/>
        </w:rPr>
        <w:t xml:space="preserve"> (source: NEACC) c) long-term-time diagrams of </w:t>
      </w:r>
      <w:proofErr w:type="spellStart"/>
      <w:r w:rsidRPr="005336A7">
        <w:rPr>
          <w:rFonts w:ascii="Times New Roman" w:hAnsi="Times New Roman" w:cs="Calibri"/>
          <w:bCs/>
          <w:color w:val="000000"/>
          <w:kern w:val="24"/>
          <w:sz w:val="20"/>
          <w:szCs w:val="20"/>
          <w:lang w:val="en-GB" w:eastAsia="ru-RU"/>
        </w:rPr>
        <w:t>geopotential</w:t>
      </w:r>
      <w:proofErr w:type="spellEnd"/>
      <w:r w:rsidRPr="005336A7">
        <w:rPr>
          <w:rFonts w:ascii="Times New Roman" w:hAnsi="Times New Roman" w:cs="Calibri"/>
          <w:bCs/>
          <w:color w:val="000000"/>
          <w:kern w:val="24"/>
          <w:sz w:val="20"/>
          <w:szCs w:val="20"/>
          <w:lang w:val="en-GB" w:eastAsia="ru-RU"/>
        </w:rPr>
        <w:t xml:space="preserve"> anomalies with 5 days running </w:t>
      </w:r>
      <w:proofErr w:type="gramStart"/>
      <w:r w:rsidRPr="005336A7">
        <w:rPr>
          <w:rFonts w:ascii="Times New Roman" w:hAnsi="Times New Roman" w:cs="Calibri"/>
          <w:bCs/>
          <w:color w:val="000000"/>
          <w:kern w:val="24"/>
          <w:sz w:val="20"/>
          <w:szCs w:val="20"/>
          <w:lang w:val="en-GB" w:eastAsia="ru-RU"/>
        </w:rPr>
        <w:t>means(</w:t>
      </w:r>
      <w:proofErr w:type="gramEnd"/>
      <w:r w:rsidRPr="005336A7">
        <w:rPr>
          <w:rFonts w:ascii="Times New Roman" w:hAnsi="Times New Roman" w:cs="Calibri"/>
          <w:bCs/>
          <w:color w:val="000000"/>
          <w:kern w:val="24"/>
          <w:sz w:val="20"/>
          <w:szCs w:val="20"/>
          <w:lang w:val="en-GB" w:eastAsia="ru-RU"/>
        </w:rPr>
        <w:t>1981-2010) for the latitudinal section of 60-90 ° N. (source: CPC NOAA)</w:t>
      </w:r>
    </w:p>
    <w:p w14:paraId="764E314E" w14:textId="77777777" w:rsidR="002B02EC" w:rsidRPr="005336A7" w:rsidRDefault="002B02EC" w:rsidP="00E14748">
      <w:pPr>
        <w:suppressAutoHyphens w:val="0"/>
        <w:kinsoku w:val="0"/>
        <w:overflowPunct w:val="0"/>
        <w:jc w:val="both"/>
        <w:textAlignment w:val="baseline"/>
        <w:rPr>
          <w:rFonts w:ascii="Times New Roman" w:hAnsi="Times New Roman"/>
          <w:lang w:val="en-GB"/>
        </w:rPr>
      </w:pPr>
      <w:r w:rsidRPr="005336A7">
        <w:rPr>
          <w:rFonts w:ascii="Times New Roman" w:hAnsi="Times New Roman"/>
          <w:lang w:val="en-GB"/>
        </w:rPr>
        <w:t xml:space="preserve"> </w:t>
      </w:r>
    </w:p>
    <w:p w14:paraId="30C67F1D" w14:textId="77777777" w:rsidR="002B02EC" w:rsidRPr="005336A7" w:rsidRDefault="002B02EC" w:rsidP="00AE5DEF">
      <w:pPr>
        <w:jc w:val="both"/>
        <w:rPr>
          <w:rFonts w:ascii="Times New Roman" w:hAnsi="Times New Roman"/>
          <w:lang w:val="en-GB" w:eastAsia="ru-RU"/>
        </w:rPr>
      </w:pPr>
      <w:r w:rsidRPr="005336A7">
        <w:rPr>
          <w:rFonts w:ascii="Times New Roman" w:hAnsi="Times New Roman"/>
          <w:color w:val="000000"/>
          <w:kern w:val="24"/>
          <w:lang w:val="en-GB" w:eastAsia="ru-RU"/>
        </w:rPr>
        <w:t xml:space="preserve">Throughout the winter, the phase of the NAO index remained positive and abnormally high positive values of the AO index were recorded in January and February. </w:t>
      </w:r>
      <w:proofErr w:type="spellStart"/>
      <w:r w:rsidRPr="005336A7">
        <w:rPr>
          <w:rFonts w:ascii="Times New Roman" w:hAnsi="Times New Roman"/>
          <w:color w:val="000000"/>
          <w:kern w:val="24"/>
          <w:lang w:val="en-GB" w:eastAsia="ru-RU"/>
        </w:rPr>
        <w:t>Zonal</w:t>
      </w:r>
      <w:proofErr w:type="spellEnd"/>
      <w:r w:rsidRPr="005336A7">
        <w:rPr>
          <w:rFonts w:ascii="Times New Roman" w:hAnsi="Times New Roman"/>
          <w:color w:val="000000"/>
          <w:kern w:val="24"/>
          <w:lang w:val="en-GB" w:eastAsia="ru-RU"/>
        </w:rPr>
        <w:t xml:space="preserve"> atmospheric circulation prevailed over the territory of Northern Eurasia. The circumpolar cyclone split in two centres: the first in the Canadian sector of the Arctic, namely, in the Baffin Sea, the second, over the Franz Josef Land archipelago. The </w:t>
      </w:r>
      <w:r w:rsidRPr="005336A7">
        <w:rPr>
          <w:rFonts w:ascii="Times New Roman" w:hAnsi="Times New Roman"/>
          <w:color w:val="222222"/>
          <w:shd w:val="clear" w:color="auto" w:fill="FFFFFF"/>
          <w:lang w:val="en-GB" w:eastAsia="ru-RU"/>
        </w:rPr>
        <w:t>troughs extended to</w:t>
      </w:r>
      <w:r w:rsidRPr="005336A7">
        <w:rPr>
          <w:rFonts w:ascii="Times New Roman" w:hAnsi="Times New Roman"/>
          <w:color w:val="000000"/>
          <w:kern w:val="24"/>
          <w:lang w:val="en-GB" w:eastAsia="ru-RU"/>
        </w:rPr>
        <w:t xml:space="preserve"> the European part of Russia, the Urals and the north of Western Siberia.  The </w:t>
      </w:r>
      <w:r w:rsidRPr="005336A7">
        <w:rPr>
          <w:rFonts w:ascii="Times New Roman" w:hAnsi="Times New Roman"/>
          <w:color w:val="222222"/>
          <w:shd w:val="clear" w:color="auto" w:fill="FFFFFF"/>
          <w:lang w:val="en-GB" w:eastAsia="ru-RU"/>
        </w:rPr>
        <w:t>trough</w:t>
      </w:r>
      <w:r w:rsidRPr="005336A7">
        <w:rPr>
          <w:rFonts w:ascii="Times New Roman" w:hAnsi="Times New Roman"/>
          <w:color w:val="000000"/>
          <w:kern w:val="24"/>
          <w:lang w:val="en-GB" w:eastAsia="ru-RU"/>
        </w:rPr>
        <w:t xml:space="preserve"> over the north of the Pacific Ocean was slightly shifted to the east and located over Alaska. Tropospheric ridges were situated over the </w:t>
      </w:r>
      <w:proofErr w:type="spellStart"/>
      <w:r w:rsidRPr="005336A7">
        <w:rPr>
          <w:rFonts w:ascii="Times New Roman" w:hAnsi="Times New Roman"/>
          <w:color w:val="000000"/>
          <w:kern w:val="24"/>
          <w:lang w:val="en-GB" w:eastAsia="ru-RU"/>
        </w:rPr>
        <w:t>southwestern</w:t>
      </w:r>
      <w:proofErr w:type="spellEnd"/>
      <w:r w:rsidRPr="005336A7">
        <w:rPr>
          <w:rFonts w:ascii="Times New Roman" w:hAnsi="Times New Roman"/>
          <w:color w:val="000000"/>
          <w:kern w:val="24"/>
          <w:lang w:val="en-GB" w:eastAsia="ru-RU"/>
        </w:rPr>
        <w:t xml:space="preserve"> part of Europe, the Western and Central parts of Siberia, and in the north of the Pacific Ocean. (Fig. 1b) From the end of December to the end of January, </w:t>
      </w:r>
      <w:proofErr w:type="gramStart"/>
      <w:r w:rsidRPr="005336A7">
        <w:rPr>
          <w:rFonts w:ascii="Times New Roman" w:hAnsi="Times New Roman"/>
          <w:color w:val="000000"/>
          <w:kern w:val="24"/>
          <w:lang w:val="en-GB" w:eastAsia="ru-RU"/>
        </w:rPr>
        <w:t>Europe and the ETR were influenced by tropospheric ridges</w:t>
      </w:r>
      <w:proofErr w:type="gramEnd"/>
      <w:r w:rsidRPr="005336A7">
        <w:rPr>
          <w:rFonts w:ascii="Times New Roman" w:hAnsi="Times New Roman"/>
          <w:color w:val="000000"/>
          <w:kern w:val="24"/>
          <w:lang w:val="en-GB" w:eastAsia="ru-RU"/>
        </w:rPr>
        <w:t>, and the strongest blocking processes took place in mid-January. In February, blocking activities were observed as far as in Siberia, and over the ETR as well in the middle of the month (Fig. 1c).</w:t>
      </w:r>
    </w:p>
    <w:p w14:paraId="4A074617" w14:textId="77777777" w:rsidR="002B02EC" w:rsidRPr="005336A7" w:rsidRDefault="002B02EC" w:rsidP="00881334">
      <w:pPr>
        <w:suppressAutoHyphens w:val="0"/>
        <w:kinsoku w:val="0"/>
        <w:overflowPunct w:val="0"/>
        <w:jc w:val="both"/>
        <w:textAlignment w:val="baseline"/>
        <w:rPr>
          <w:rFonts w:ascii="Times New Roman" w:hAnsi="Times New Roman"/>
          <w:color w:val="000000"/>
          <w:kern w:val="24"/>
          <w:lang w:val="en-GB" w:eastAsia="ru-RU"/>
        </w:rPr>
      </w:pPr>
    </w:p>
    <w:p w14:paraId="1418AFEF" w14:textId="77777777" w:rsidR="002B02EC" w:rsidRPr="005336A7" w:rsidRDefault="002B02EC" w:rsidP="00881334">
      <w:pPr>
        <w:suppressAutoHyphens w:val="0"/>
        <w:kinsoku w:val="0"/>
        <w:overflowPunct w:val="0"/>
        <w:jc w:val="both"/>
        <w:textAlignment w:val="baseline"/>
        <w:rPr>
          <w:rFonts w:ascii="Times New Roman" w:hAnsi="Times New Roman"/>
          <w:lang w:val="en-GB"/>
        </w:rPr>
      </w:pPr>
    </w:p>
    <w:tbl>
      <w:tblPr>
        <w:tblW w:w="0" w:type="auto"/>
        <w:tblInd w:w="-914" w:type="dxa"/>
        <w:tblLook w:val="00A0" w:firstRow="1" w:lastRow="0" w:firstColumn="1" w:lastColumn="0" w:noHBand="0" w:noVBand="0"/>
      </w:tblPr>
      <w:tblGrid>
        <w:gridCol w:w="3909"/>
        <w:gridCol w:w="3496"/>
        <w:gridCol w:w="3340"/>
      </w:tblGrid>
      <w:tr w:rsidR="002B02EC" w:rsidRPr="005336A7" w14:paraId="110C36EB" w14:textId="77777777" w:rsidTr="0099510E">
        <w:tc>
          <w:tcPr>
            <w:tcW w:w="3843" w:type="dxa"/>
          </w:tcPr>
          <w:p w14:paraId="1222138F" w14:textId="77777777" w:rsidR="002B02EC" w:rsidRPr="005336A7" w:rsidRDefault="00946626" w:rsidP="006B513D">
            <w:pPr>
              <w:suppressAutoHyphens w:val="0"/>
              <w:kinsoku w:val="0"/>
              <w:overflowPunct w:val="0"/>
              <w:ind w:left="488"/>
              <w:jc w:val="both"/>
              <w:textAlignment w:val="baseline"/>
              <w:rPr>
                <w:noProof/>
                <w:lang w:val="en-GB" w:eastAsia="ru-RU"/>
              </w:rPr>
            </w:pPr>
            <w:r>
              <w:rPr>
                <w:noProof/>
                <w:lang w:val="en-US" w:eastAsia="ru-RU"/>
              </w:rPr>
              <w:drawing>
                <wp:inline distT="0" distB="0" distL="0" distR="0" wp14:anchorId="727E1781" wp14:editId="6A58A87F">
                  <wp:extent cx="2035175" cy="1880235"/>
                  <wp:effectExtent l="0" t="0" r="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5175" cy="1880235"/>
                          </a:xfrm>
                          <a:prstGeom prst="rect">
                            <a:avLst/>
                          </a:prstGeom>
                          <a:noFill/>
                          <a:ln>
                            <a:noFill/>
                          </a:ln>
                        </pic:spPr>
                      </pic:pic>
                    </a:graphicData>
                  </a:graphic>
                </wp:inline>
              </w:drawing>
            </w:r>
          </w:p>
          <w:p w14:paraId="4054FD1C" w14:textId="77777777" w:rsidR="002B02EC" w:rsidRPr="005336A7" w:rsidRDefault="002B02EC" w:rsidP="0099510E">
            <w:pPr>
              <w:suppressAutoHyphens w:val="0"/>
              <w:kinsoku w:val="0"/>
              <w:overflowPunct w:val="0"/>
              <w:jc w:val="both"/>
              <w:textAlignment w:val="baseline"/>
              <w:rPr>
                <w:rFonts w:ascii="Times New Roman" w:hAnsi="Times New Roman"/>
                <w:lang w:val="en-GB"/>
              </w:rPr>
            </w:pPr>
            <w:r w:rsidRPr="005336A7">
              <w:rPr>
                <w:noProof/>
                <w:sz w:val="22"/>
                <w:szCs w:val="22"/>
                <w:lang w:val="en-GB" w:eastAsia="ru-RU"/>
              </w:rPr>
              <w:t xml:space="preserve">              а)</w:t>
            </w:r>
          </w:p>
        </w:tc>
        <w:tc>
          <w:tcPr>
            <w:tcW w:w="3484" w:type="dxa"/>
          </w:tcPr>
          <w:p w14:paraId="177F02CD" w14:textId="7CDF5E97" w:rsidR="002B02EC" w:rsidRPr="005336A7" w:rsidRDefault="00992235" w:rsidP="0099510E">
            <w:pPr>
              <w:suppressAutoHyphens w:val="0"/>
              <w:kinsoku w:val="0"/>
              <w:overflowPunct w:val="0"/>
              <w:jc w:val="both"/>
              <w:textAlignment w:val="baseline"/>
              <w:rPr>
                <w:noProof/>
                <w:lang w:val="en-GB" w:eastAsia="ru-RU"/>
              </w:rPr>
            </w:pPr>
            <w:r>
              <w:rPr>
                <w:noProof/>
                <w:lang w:val="en-US" w:eastAsia="ru-RU"/>
              </w:rPr>
              <w:drawing>
                <wp:inline distT="0" distB="0" distL="0" distR="0" wp14:anchorId="6910F140" wp14:editId="6297C30D">
                  <wp:extent cx="2072149" cy="1942155"/>
                  <wp:effectExtent l="0" t="0" r="10795" b="0"/>
                  <wp:docPr id="16" name="Изображение 16" descr="Macintosh HD:Users:valent:Desktop:СЕАКОФ18:north_t2m_n81_DJF_2019_ster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nt:Desktop:СЕАКОФ18:north_t2m_n81_DJF_2019_stere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2387" cy="1942378"/>
                          </a:xfrm>
                          <a:prstGeom prst="rect">
                            <a:avLst/>
                          </a:prstGeom>
                          <a:noFill/>
                          <a:ln>
                            <a:noFill/>
                          </a:ln>
                        </pic:spPr>
                      </pic:pic>
                    </a:graphicData>
                  </a:graphic>
                </wp:inline>
              </w:drawing>
            </w:r>
          </w:p>
          <w:p w14:paraId="7E9B2DF6" w14:textId="77777777" w:rsidR="002B02EC" w:rsidRPr="005336A7" w:rsidRDefault="002B02EC" w:rsidP="0099510E">
            <w:pPr>
              <w:suppressAutoHyphens w:val="0"/>
              <w:kinsoku w:val="0"/>
              <w:overflowPunct w:val="0"/>
              <w:jc w:val="both"/>
              <w:textAlignment w:val="baseline"/>
              <w:rPr>
                <w:rFonts w:ascii="Times New Roman" w:hAnsi="Times New Roman"/>
                <w:lang w:val="en-GB"/>
              </w:rPr>
            </w:pPr>
            <w:r w:rsidRPr="005336A7">
              <w:rPr>
                <w:noProof/>
                <w:sz w:val="22"/>
                <w:szCs w:val="22"/>
                <w:lang w:val="en-GB" w:eastAsia="ru-RU"/>
              </w:rPr>
              <w:t xml:space="preserve">   б)</w:t>
            </w:r>
          </w:p>
        </w:tc>
        <w:tc>
          <w:tcPr>
            <w:tcW w:w="3340" w:type="dxa"/>
          </w:tcPr>
          <w:p w14:paraId="223F3F1D" w14:textId="16E17186" w:rsidR="002B02EC" w:rsidRPr="005336A7" w:rsidRDefault="00992235" w:rsidP="0099510E">
            <w:pPr>
              <w:suppressAutoHyphens w:val="0"/>
              <w:kinsoku w:val="0"/>
              <w:overflowPunct w:val="0"/>
              <w:jc w:val="both"/>
              <w:textAlignment w:val="baseline"/>
              <w:rPr>
                <w:noProof/>
                <w:lang w:val="en-GB" w:eastAsia="ru-RU"/>
              </w:rPr>
            </w:pPr>
            <w:r>
              <w:rPr>
                <w:noProof/>
                <w:lang w:val="en-US" w:eastAsia="ru-RU"/>
              </w:rPr>
              <w:drawing>
                <wp:inline distT="0" distB="0" distL="0" distR="0" wp14:anchorId="4094A64F" wp14:editId="3C2415CA">
                  <wp:extent cx="1968910" cy="1845393"/>
                  <wp:effectExtent l="0" t="0" r="12700" b="8890"/>
                  <wp:docPr id="17" name="Изображение 17" descr="Macintosh HD:Users:valent:Desktop:СЕАКОФ18:north_prec_n81_DJF_2019_ster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alent:Desktop:СЕАКОФ18:north_prec_n81_DJF_2019_stere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0348" cy="1846741"/>
                          </a:xfrm>
                          <a:prstGeom prst="rect">
                            <a:avLst/>
                          </a:prstGeom>
                          <a:noFill/>
                          <a:ln>
                            <a:noFill/>
                          </a:ln>
                        </pic:spPr>
                      </pic:pic>
                    </a:graphicData>
                  </a:graphic>
                </wp:inline>
              </w:drawing>
            </w:r>
          </w:p>
          <w:p w14:paraId="6F65020A" w14:textId="77777777" w:rsidR="002B02EC" w:rsidRPr="005336A7" w:rsidRDefault="002B02EC" w:rsidP="0099510E">
            <w:pPr>
              <w:suppressAutoHyphens w:val="0"/>
              <w:kinsoku w:val="0"/>
              <w:overflowPunct w:val="0"/>
              <w:jc w:val="both"/>
              <w:textAlignment w:val="baseline"/>
              <w:rPr>
                <w:rFonts w:ascii="Times New Roman" w:hAnsi="Times New Roman"/>
                <w:lang w:val="en-GB"/>
              </w:rPr>
            </w:pPr>
            <w:r w:rsidRPr="005336A7">
              <w:rPr>
                <w:noProof/>
                <w:sz w:val="22"/>
                <w:szCs w:val="22"/>
                <w:lang w:val="en-GB" w:eastAsia="ru-RU"/>
              </w:rPr>
              <w:t xml:space="preserve">    в)</w:t>
            </w:r>
          </w:p>
        </w:tc>
        <w:bookmarkStart w:id="0" w:name="_GoBack"/>
        <w:bookmarkEnd w:id="0"/>
      </w:tr>
    </w:tbl>
    <w:p w14:paraId="1CA37D76" w14:textId="77777777" w:rsidR="002B02EC" w:rsidRPr="005336A7" w:rsidRDefault="002B02EC" w:rsidP="00881334">
      <w:pPr>
        <w:suppressAutoHyphens w:val="0"/>
        <w:kinsoku w:val="0"/>
        <w:overflowPunct w:val="0"/>
        <w:jc w:val="both"/>
        <w:textAlignment w:val="baseline"/>
        <w:rPr>
          <w:rFonts w:ascii="Times New Roman" w:hAnsi="Times New Roman"/>
          <w:lang w:val="en-GB"/>
        </w:rPr>
      </w:pPr>
    </w:p>
    <w:p w14:paraId="4710D229" w14:textId="77777777" w:rsidR="002B02EC" w:rsidRPr="005336A7" w:rsidRDefault="002B02EC" w:rsidP="00881334">
      <w:pPr>
        <w:suppressAutoHyphens w:val="0"/>
        <w:kinsoku w:val="0"/>
        <w:overflowPunct w:val="0"/>
        <w:jc w:val="both"/>
        <w:textAlignment w:val="baseline"/>
        <w:rPr>
          <w:rFonts w:ascii="Times New Roman" w:hAnsi="Times New Roman"/>
          <w:lang w:val="en-GB"/>
        </w:rPr>
      </w:pPr>
      <w:r w:rsidRPr="005336A7">
        <w:rPr>
          <w:rFonts w:ascii="Times New Roman" w:hAnsi="Times New Roman" w:cs="Calibri"/>
          <w:bCs/>
          <w:color w:val="000000"/>
          <w:kern w:val="24"/>
          <w:sz w:val="20"/>
          <w:szCs w:val="20"/>
          <w:lang w:val="en-GB" w:eastAsia="ru-RU"/>
        </w:rPr>
        <w:t>Figure 2. Maps of anomalies relative to the climatic norms for 1981-2010 as per the NCEP/NCAR reanalysis data and the measurements of: a) surface pressure, b) surface air temperature, c) precipitation; DJF 2019/2020</w:t>
      </w:r>
    </w:p>
    <w:p w14:paraId="6B5B54DF" w14:textId="77777777" w:rsidR="002B02EC" w:rsidRPr="005336A7" w:rsidRDefault="002B02EC" w:rsidP="00881334">
      <w:pPr>
        <w:suppressAutoHyphens w:val="0"/>
        <w:kinsoku w:val="0"/>
        <w:overflowPunct w:val="0"/>
        <w:jc w:val="both"/>
        <w:textAlignment w:val="baseline"/>
        <w:rPr>
          <w:rFonts w:ascii="Times New Roman" w:hAnsi="Times New Roman"/>
          <w:lang w:val="en-GB"/>
        </w:rPr>
      </w:pPr>
    </w:p>
    <w:p w14:paraId="29D3D105" w14:textId="77777777" w:rsidR="002B02EC" w:rsidRPr="005336A7" w:rsidRDefault="002B02EC" w:rsidP="00124FD0">
      <w:pPr>
        <w:kinsoku w:val="0"/>
        <w:overflowPunct w:val="0"/>
        <w:jc w:val="both"/>
        <w:textAlignment w:val="baseline"/>
        <w:rPr>
          <w:rFonts w:ascii="Times New Roman" w:hAnsi="Times New Roman"/>
          <w:lang w:val="en-GB"/>
        </w:rPr>
      </w:pPr>
      <w:r w:rsidRPr="005336A7">
        <w:rPr>
          <w:rFonts w:ascii="Times New Roman" w:hAnsi="Times New Roman"/>
          <w:lang w:val="en-GB"/>
        </w:rPr>
        <w:t>As for the Atlantic pair of centres, the minimum centred in the region of Iceland was most powerful.</w:t>
      </w:r>
    </w:p>
    <w:p w14:paraId="3E0676C5" w14:textId="77777777" w:rsidR="002B02EC" w:rsidRPr="005336A7" w:rsidRDefault="002B02EC" w:rsidP="00124FD0">
      <w:pPr>
        <w:kinsoku w:val="0"/>
        <w:overflowPunct w:val="0"/>
        <w:jc w:val="both"/>
        <w:textAlignment w:val="baseline"/>
        <w:rPr>
          <w:rFonts w:ascii="Times New Roman" w:hAnsi="Times New Roman"/>
          <w:lang w:val="en-GB"/>
        </w:rPr>
      </w:pPr>
      <w:r w:rsidRPr="005336A7">
        <w:rPr>
          <w:rFonts w:ascii="Times New Roman" w:hAnsi="Times New Roman"/>
          <w:lang w:val="en-GB"/>
        </w:rPr>
        <w:lastRenderedPageBreak/>
        <w:t xml:space="preserve">The deep through over Eastern Europe was observed with the largest negative anomalies up to -14 </w:t>
      </w:r>
      <w:proofErr w:type="spellStart"/>
      <w:r w:rsidRPr="005336A7">
        <w:rPr>
          <w:rFonts w:ascii="Times New Roman" w:hAnsi="Times New Roman"/>
          <w:lang w:val="en-GB"/>
        </w:rPr>
        <w:t>hPa</w:t>
      </w:r>
      <w:proofErr w:type="spellEnd"/>
      <w:r w:rsidRPr="005336A7">
        <w:rPr>
          <w:rFonts w:ascii="Times New Roman" w:hAnsi="Times New Roman"/>
          <w:lang w:val="en-GB"/>
        </w:rPr>
        <w:t xml:space="preserve"> in northern Scandinavia. The second through was located over Western Siberia. The Siberian maximum was weaker than normal, located over Mongolia and covered a slightly smaller area. The western periphery of the Siberian maximum was weak, while the </w:t>
      </w:r>
      <w:proofErr w:type="gramStart"/>
      <w:r w:rsidRPr="005336A7">
        <w:rPr>
          <w:rFonts w:ascii="Times New Roman" w:hAnsi="Times New Roman"/>
          <w:lang w:val="en-GB"/>
        </w:rPr>
        <w:t>north-eastern</w:t>
      </w:r>
      <w:proofErr w:type="gramEnd"/>
      <w:r w:rsidRPr="005336A7">
        <w:rPr>
          <w:rFonts w:ascii="Times New Roman" w:hAnsi="Times New Roman"/>
          <w:lang w:val="en-GB"/>
        </w:rPr>
        <w:t xml:space="preserve"> and eastern ridges of the Siberian anticyclone were strong (Fig. 2a). Over the whole territory of Eurasia, the temperature was significantly higher than normal (anomalies up to 4-7°) (Fig. 2b). The largest positive anomalies (7 °) were in the </w:t>
      </w:r>
      <w:proofErr w:type="gramStart"/>
      <w:r w:rsidRPr="005336A7">
        <w:rPr>
          <w:rFonts w:ascii="Times New Roman" w:hAnsi="Times New Roman"/>
          <w:lang w:val="en-GB"/>
        </w:rPr>
        <w:t>north-west</w:t>
      </w:r>
      <w:proofErr w:type="gramEnd"/>
      <w:r w:rsidRPr="005336A7">
        <w:rPr>
          <w:rFonts w:ascii="Times New Roman" w:hAnsi="Times New Roman"/>
          <w:lang w:val="en-GB"/>
        </w:rPr>
        <w:t xml:space="preserve"> of the European part of Russia and in the north-west of the Krasnoyarsk region. According to the </w:t>
      </w:r>
      <w:proofErr w:type="spellStart"/>
      <w:r w:rsidRPr="005336A7">
        <w:rPr>
          <w:rFonts w:ascii="Times New Roman" w:hAnsi="Times New Roman"/>
          <w:lang w:val="en-GB"/>
        </w:rPr>
        <w:t>Hydrometcentre</w:t>
      </w:r>
      <w:proofErr w:type="spellEnd"/>
      <w:r w:rsidRPr="005336A7">
        <w:rPr>
          <w:rFonts w:ascii="Times New Roman" w:hAnsi="Times New Roman"/>
          <w:lang w:val="en-GB"/>
        </w:rPr>
        <w:t xml:space="preserve"> of Russia, the winter 2019/ 20 became the warmest in the history of Russia, exceeding the previous record of 2015/16 by 1.3°C. Excess precipitation under the influence of deep Atlantic cyclones was recorded in Scandinavia, in the north of the European part of Russia, in the north of the Urals, and in the north of Western Siberia. Precipitation was below normal in the south of the ETR and in the west of Kazakhstan, and above normal in the eastern half of Kazakhstan, Kyrgyzstan and Turkmenistan. Under the influence of the Siberian maximum, abnormally low amounts of precipitation were observed in the south of Eastern Siberia, in Mongolia and in the south of the Russian Far East, and on Sakhalin Island.</w:t>
      </w:r>
    </w:p>
    <w:p w14:paraId="1907481F" w14:textId="77777777" w:rsidR="002B02EC" w:rsidRPr="005336A7" w:rsidRDefault="002B02EC" w:rsidP="00F312F9">
      <w:pPr>
        <w:suppressAutoHyphens w:val="0"/>
        <w:kinsoku w:val="0"/>
        <w:overflowPunct w:val="0"/>
        <w:jc w:val="both"/>
        <w:textAlignment w:val="baseline"/>
        <w:rPr>
          <w:rFonts w:ascii="Times New Roman" w:hAnsi="Times New Roman"/>
          <w:lang w:val="en-GB"/>
        </w:rPr>
      </w:pPr>
    </w:p>
    <w:p w14:paraId="47669DF6" w14:textId="77777777" w:rsidR="002B02EC" w:rsidRPr="005336A7" w:rsidRDefault="002B02EC" w:rsidP="00544A8B">
      <w:pPr>
        <w:jc w:val="both"/>
        <w:rPr>
          <w:rFonts w:ascii="Times New Roman" w:hAnsi="Times New Roman"/>
          <w:b/>
          <w:bCs/>
          <w:lang w:val="en-GB"/>
        </w:rPr>
      </w:pPr>
      <w:r w:rsidRPr="005336A7">
        <w:rPr>
          <w:rFonts w:ascii="Times New Roman" w:hAnsi="Times New Roman"/>
          <w:b/>
          <w:lang w:val="en-GB" w:eastAsia="ru-RU"/>
        </w:rPr>
        <w:t>Verification</w:t>
      </w:r>
      <w:r w:rsidRPr="005336A7">
        <w:rPr>
          <w:rFonts w:ascii="Times New Roman" w:hAnsi="Times New Roman"/>
          <w:b/>
          <w:bCs/>
          <w:lang w:val="en-GB"/>
        </w:rPr>
        <w:t xml:space="preserve"> of forecasts of air temperature and precipitation for DJF 2019/2020</w:t>
      </w:r>
    </w:p>
    <w:p w14:paraId="46C6B1E5" w14:textId="77777777" w:rsidR="002B02EC" w:rsidRPr="005336A7" w:rsidRDefault="002B02EC" w:rsidP="00544A8B">
      <w:pPr>
        <w:jc w:val="both"/>
        <w:rPr>
          <w:rFonts w:ascii="Times New Roman" w:hAnsi="Times New Roman"/>
          <w:b/>
          <w:bCs/>
          <w:lang w:val="en-GB"/>
        </w:rPr>
      </w:pPr>
    </w:p>
    <w:p w14:paraId="4FA37BA0" w14:textId="77777777" w:rsidR="002B02EC" w:rsidRPr="005336A7" w:rsidRDefault="002B02EC" w:rsidP="005121D9">
      <w:pPr>
        <w:jc w:val="both"/>
        <w:rPr>
          <w:rFonts w:ascii="Times New Roman" w:hAnsi="Times New Roman"/>
          <w:color w:val="000000"/>
          <w:kern w:val="1"/>
          <w:lang w:val="en-GB"/>
        </w:rPr>
      </w:pPr>
      <w:r w:rsidRPr="005336A7">
        <w:rPr>
          <w:rFonts w:ascii="Times New Roman" w:hAnsi="Times New Roman"/>
          <w:color w:val="000000"/>
          <w:kern w:val="1"/>
          <w:lang w:val="en-GB"/>
        </w:rPr>
        <w:t>The forecast correctly reproduced the positive anomalies of air temperature over the western regions of the northern Eurasia, in the southern half of Central Asia (Turkmenistan, Uzbekistan, Tajikistan, Kyrgyzstan, southern Kazakhstan), over Siberia. In most of the ETR, the forecast and the observed anomaly were in adjacent categories of ratings (e.g., "near normal" forecasted, "above normal" observed). (Fig. 3)</w:t>
      </w:r>
    </w:p>
    <w:tbl>
      <w:tblPr>
        <w:tblW w:w="10114" w:type="dxa"/>
        <w:tblLayout w:type="fixed"/>
        <w:tblLook w:val="00A0" w:firstRow="1" w:lastRow="0" w:firstColumn="1" w:lastColumn="0" w:noHBand="0" w:noVBand="0"/>
      </w:tblPr>
      <w:tblGrid>
        <w:gridCol w:w="5322"/>
        <w:gridCol w:w="4792"/>
      </w:tblGrid>
      <w:tr w:rsidR="002B02EC" w:rsidRPr="005336A7" w14:paraId="54747FEB" w14:textId="77777777" w:rsidTr="006B513D">
        <w:trPr>
          <w:trHeight w:val="2851"/>
        </w:trPr>
        <w:tc>
          <w:tcPr>
            <w:tcW w:w="5322" w:type="dxa"/>
          </w:tcPr>
          <w:p w14:paraId="4DCA965F" w14:textId="77777777" w:rsidR="002B02EC" w:rsidRPr="005336A7" w:rsidRDefault="00946626" w:rsidP="006B513D">
            <w:pPr>
              <w:widowControl w:val="0"/>
              <w:autoSpaceDE w:val="0"/>
              <w:spacing w:after="240"/>
              <w:rPr>
                <w:lang w:val="en-GB"/>
              </w:rPr>
            </w:pPr>
            <w:r>
              <w:rPr>
                <w:noProof/>
                <w:lang w:val="en-US" w:eastAsia="ru-RU"/>
              </w:rPr>
              <w:drawing>
                <wp:inline distT="0" distB="0" distL="0" distR="0" wp14:anchorId="6C3D99CC" wp14:editId="12422A03">
                  <wp:extent cx="3030855" cy="1666875"/>
                  <wp:effectExtent l="0" t="0" r="0" b="9525"/>
                  <wp:docPr id="8" name="Содержимое 3" descr="t2m_djf_2019_mean_fo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держимое 3" descr="t2m_djf_2019_mean_forec.png"/>
                          <pic:cNvPicPr>
                            <a:picLocks noChangeAspect="1" noChangeArrowheads="1"/>
                          </pic:cNvPicPr>
                        </pic:nvPicPr>
                        <pic:blipFill>
                          <a:blip r:embed="rId15">
                            <a:extLst>
                              <a:ext uri="{28A0092B-C50C-407E-A947-70E740481C1C}">
                                <a14:useLocalDpi xmlns:a14="http://schemas.microsoft.com/office/drawing/2010/main" val="0"/>
                              </a:ext>
                            </a:extLst>
                          </a:blip>
                          <a:srcRect t="1871" b="1871"/>
                          <a:stretch>
                            <a:fillRect/>
                          </a:stretch>
                        </pic:blipFill>
                        <pic:spPr bwMode="auto">
                          <a:xfrm>
                            <a:off x="0" y="0"/>
                            <a:ext cx="3030855" cy="1666875"/>
                          </a:xfrm>
                          <a:prstGeom prst="rect">
                            <a:avLst/>
                          </a:prstGeom>
                          <a:noFill/>
                          <a:ln>
                            <a:noFill/>
                          </a:ln>
                        </pic:spPr>
                      </pic:pic>
                    </a:graphicData>
                  </a:graphic>
                </wp:inline>
              </w:drawing>
            </w:r>
          </w:p>
          <w:p w14:paraId="6FF78DE8" w14:textId="77777777" w:rsidR="002B02EC" w:rsidRPr="005336A7" w:rsidRDefault="002B02EC" w:rsidP="006B513D">
            <w:pPr>
              <w:widowControl w:val="0"/>
              <w:autoSpaceDE w:val="0"/>
              <w:spacing w:after="240"/>
              <w:rPr>
                <w:lang w:val="en-GB"/>
              </w:rPr>
            </w:pPr>
            <w:r w:rsidRPr="005336A7">
              <w:rPr>
                <w:sz w:val="22"/>
                <w:szCs w:val="22"/>
                <w:lang w:val="en-GB"/>
              </w:rPr>
              <w:t>a)</w:t>
            </w:r>
          </w:p>
        </w:tc>
        <w:tc>
          <w:tcPr>
            <w:tcW w:w="4792" w:type="dxa"/>
          </w:tcPr>
          <w:p w14:paraId="070BDD7E" w14:textId="77777777" w:rsidR="002B02EC" w:rsidRPr="005336A7" w:rsidRDefault="00946626" w:rsidP="006B513D">
            <w:pPr>
              <w:widowControl w:val="0"/>
              <w:autoSpaceDE w:val="0"/>
              <w:spacing w:after="240"/>
              <w:rPr>
                <w:lang w:val="en-GB"/>
              </w:rPr>
            </w:pPr>
            <w:r>
              <w:rPr>
                <w:noProof/>
                <w:lang w:val="en-US" w:eastAsia="ru-RU"/>
              </w:rPr>
              <w:drawing>
                <wp:inline distT="0" distB="0" distL="0" distR="0" wp14:anchorId="0F527528" wp14:editId="69653E9E">
                  <wp:extent cx="3030855" cy="1725295"/>
                  <wp:effectExtent l="0" t="0" r="0" b="1905"/>
                  <wp:docPr id="9" name="Изображение 4" descr="sng_t2m_81_djf_2019_f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4" descr="sng_t2m_81_djf_2019_fac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0855" cy="1725295"/>
                          </a:xfrm>
                          <a:prstGeom prst="rect">
                            <a:avLst/>
                          </a:prstGeom>
                          <a:noFill/>
                          <a:ln>
                            <a:noFill/>
                          </a:ln>
                        </pic:spPr>
                      </pic:pic>
                    </a:graphicData>
                  </a:graphic>
                </wp:inline>
              </w:drawing>
            </w:r>
          </w:p>
          <w:p w14:paraId="6D3CE6F0" w14:textId="77777777" w:rsidR="002B02EC" w:rsidRPr="005336A7" w:rsidRDefault="002B02EC" w:rsidP="006B513D">
            <w:pPr>
              <w:widowControl w:val="0"/>
              <w:autoSpaceDE w:val="0"/>
              <w:spacing w:after="240"/>
              <w:rPr>
                <w:lang w:val="en-GB"/>
              </w:rPr>
            </w:pPr>
            <w:r w:rsidRPr="005336A7">
              <w:rPr>
                <w:sz w:val="22"/>
                <w:szCs w:val="22"/>
                <w:lang w:val="en-GB"/>
              </w:rPr>
              <w:t>b)</w:t>
            </w:r>
          </w:p>
        </w:tc>
      </w:tr>
    </w:tbl>
    <w:p w14:paraId="145C4898" w14:textId="77777777" w:rsidR="002B02EC" w:rsidRPr="005336A7" w:rsidRDefault="002B02EC" w:rsidP="00E55FC4">
      <w:pPr>
        <w:widowControl w:val="0"/>
        <w:autoSpaceDE w:val="0"/>
        <w:spacing w:after="240"/>
        <w:jc w:val="both"/>
        <w:rPr>
          <w:rFonts w:ascii="Times New Roman" w:hAnsi="Times New Roman"/>
          <w:sz w:val="20"/>
          <w:szCs w:val="20"/>
          <w:lang w:val="en-GB"/>
        </w:rPr>
      </w:pPr>
      <w:r w:rsidRPr="005336A7">
        <w:rPr>
          <w:rFonts w:ascii="Times New Roman" w:hAnsi="Times New Roman"/>
          <w:sz w:val="20"/>
          <w:szCs w:val="20"/>
          <w:lang w:val="en-GB"/>
        </w:rPr>
        <w:t>Figure 3. Maps of a) consistency of forecasts of surface air temperature anomalies obtained on the basis of a combination of forecasts from dynamic models (</w:t>
      </w:r>
      <w:proofErr w:type="spellStart"/>
      <w:r w:rsidRPr="005336A7">
        <w:rPr>
          <w:rFonts w:ascii="Times New Roman" w:hAnsi="Times New Roman"/>
          <w:sz w:val="20"/>
          <w:szCs w:val="20"/>
          <w:lang w:val="en-GB"/>
        </w:rPr>
        <w:t>Sl</w:t>
      </w:r>
      <w:proofErr w:type="spellEnd"/>
      <w:r w:rsidRPr="005336A7">
        <w:rPr>
          <w:rFonts w:ascii="Times New Roman" w:hAnsi="Times New Roman"/>
          <w:sz w:val="20"/>
          <w:szCs w:val="20"/>
          <w:lang w:val="en-GB"/>
        </w:rPr>
        <w:t xml:space="preserve">-AV, MGO, TCC, </w:t>
      </w:r>
      <w:proofErr w:type="spellStart"/>
      <w:r w:rsidRPr="005336A7">
        <w:rPr>
          <w:rFonts w:ascii="Times New Roman" w:hAnsi="Times New Roman"/>
          <w:sz w:val="20"/>
          <w:szCs w:val="20"/>
          <w:lang w:val="en-GB"/>
        </w:rPr>
        <w:t>CanSIP</w:t>
      </w:r>
      <w:proofErr w:type="spellEnd"/>
      <w:r w:rsidRPr="005336A7">
        <w:rPr>
          <w:rFonts w:ascii="Times New Roman" w:hAnsi="Times New Roman"/>
          <w:sz w:val="20"/>
          <w:szCs w:val="20"/>
          <w:lang w:val="en-GB"/>
        </w:rPr>
        <w:t>, CFS2) b) distribution of surface temperature anomalies from NCEP / NCAR reanalysis, DJF 2019/2020</w:t>
      </w:r>
    </w:p>
    <w:p w14:paraId="3359AA1D" w14:textId="77777777" w:rsidR="002B02EC" w:rsidRPr="005336A7" w:rsidRDefault="002B02EC" w:rsidP="00E55FC4">
      <w:pPr>
        <w:widowControl w:val="0"/>
        <w:autoSpaceDE w:val="0"/>
        <w:spacing w:after="240"/>
        <w:jc w:val="both"/>
        <w:rPr>
          <w:rFonts w:ascii="Times New Roman" w:hAnsi="Times New Roman"/>
          <w:color w:val="000000"/>
          <w:kern w:val="1"/>
          <w:lang w:val="en-GB"/>
        </w:rPr>
      </w:pPr>
      <w:r w:rsidRPr="005336A7">
        <w:rPr>
          <w:rFonts w:ascii="Times New Roman" w:hAnsi="Times New Roman"/>
          <w:color w:val="000000"/>
          <w:kern w:val="1"/>
          <w:lang w:val="en-GB"/>
        </w:rPr>
        <w:t xml:space="preserve">The consensus forecast has correctly reproduced the abnormal precipitation over the western and </w:t>
      </w:r>
      <w:proofErr w:type="spellStart"/>
      <w:r w:rsidRPr="005336A7">
        <w:rPr>
          <w:rFonts w:ascii="Times New Roman" w:hAnsi="Times New Roman"/>
          <w:color w:val="000000"/>
          <w:kern w:val="1"/>
          <w:lang w:val="en-GB"/>
        </w:rPr>
        <w:t>northwestern</w:t>
      </w:r>
      <w:proofErr w:type="spellEnd"/>
      <w:r w:rsidRPr="005336A7">
        <w:rPr>
          <w:rFonts w:ascii="Times New Roman" w:hAnsi="Times New Roman"/>
          <w:color w:val="000000"/>
          <w:kern w:val="1"/>
          <w:lang w:val="en-GB"/>
        </w:rPr>
        <w:t xml:space="preserve"> regions of northern Eurasia, in Western Siberia and in </w:t>
      </w:r>
      <w:proofErr w:type="spellStart"/>
      <w:r w:rsidRPr="005336A7">
        <w:rPr>
          <w:rFonts w:ascii="Times New Roman" w:hAnsi="Times New Roman"/>
          <w:color w:val="000000"/>
          <w:kern w:val="1"/>
          <w:lang w:val="en-GB"/>
        </w:rPr>
        <w:t>Yakutia</w:t>
      </w:r>
      <w:proofErr w:type="spellEnd"/>
      <w:r w:rsidRPr="005336A7">
        <w:rPr>
          <w:rFonts w:ascii="Times New Roman" w:hAnsi="Times New Roman"/>
          <w:color w:val="000000"/>
          <w:kern w:val="1"/>
          <w:lang w:val="en-GB"/>
        </w:rPr>
        <w:t>. Precipitation amounts above the normal value were correctly predicted in Turkmenistan, in Tajikistan, in the western half of Kyrgyzstan, in the central part of Kazakhstan and Uzbekistan (Fig. 4).</w:t>
      </w:r>
    </w:p>
    <w:tbl>
      <w:tblPr>
        <w:tblW w:w="0" w:type="auto"/>
        <w:tblLayout w:type="fixed"/>
        <w:tblLook w:val="00A0" w:firstRow="1" w:lastRow="0" w:firstColumn="1" w:lastColumn="0" w:noHBand="0" w:noVBand="0"/>
      </w:tblPr>
      <w:tblGrid>
        <w:gridCol w:w="5211"/>
        <w:gridCol w:w="4694"/>
      </w:tblGrid>
      <w:tr w:rsidR="002B02EC" w:rsidRPr="005336A7" w14:paraId="15417D27" w14:textId="77777777" w:rsidTr="00D37EEA">
        <w:tc>
          <w:tcPr>
            <w:tcW w:w="5211" w:type="dxa"/>
          </w:tcPr>
          <w:p w14:paraId="11DFEB89" w14:textId="77777777" w:rsidR="002B02EC" w:rsidRPr="005336A7" w:rsidRDefault="00946626" w:rsidP="0099510E">
            <w:pPr>
              <w:widowControl w:val="0"/>
              <w:autoSpaceDE w:val="0"/>
              <w:spacing w:after="240"/>
              <w:jc w:val="both"/>
              <w:rPr>
                <w:lang w:val="en-GB"/>
              </w:rPr>
            </w:pPr>
            <w:r>
              <w:rPr>
                <w:noProof/>
                <w:lang w:val="en-US" w:eastAsia="ru-RU"/>
              </w:rPr>
              <w:lastRenderedPageBreak/>
              <w:drawing>
                <wp:inline distT="0" distB="0" distL="0" distR="0" wp14:anchorId="6C20315A" wp14:editId="2A123080">
                  <wp:extent cx="3030855" cy="1666875"/>
                  <wp:effectExtent l="0" t="0" r="0" b="9525"/>
                  <wp:docPr id="10" name="Рисунок 10" descr="prec_djf_2019_mean_fo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ec_djf_2019_mean_forec.png"/>
                          <pic:cNvPicPr>
                            <a:picLocks noChangeAspect="1" noChangeArrowheads="1"/>
                          </pic:cNvPicPr>
                        </pic:nvPicPr>
                        <pic:blipFill>
                          <a:blip r:embed="rId17">
                            <a:extLst>
                              <a:ext uri="{28A0092B-C50C-407E-A947-70E740481C1C}">
                                <a14:useLocalDpi xmlns:a14="http://schemas.microsoft.com/office/drawing/2010/main" val="0"/>
                              </a:ext>
                            </a:extLst>
                          </a:blip>
                          <a:srcRect t="1871" b="1871"/>
                          <a:stretch>
                            <a:fillRect/>
                          </a:stretch>
                        </pic:blipFill>
                        <pic:spPr bwMode="auto">
                          <a:xfrm>
                            <a:off x="0" y="0"/>
                            <a:ext cx="3030855" cy="1666875"/>
                          </a:xfrm>
                          <a:prstGeom prst="rect">
                            <a:avLst/>
                          </a:prstGeom>
                          <a:noFill/>
                          <a:ln>
                            <a:noFill/>
                          </a:ln>
                        </pic:spPr>
                      </pic:pic>
                    </a:graphicData>
                  </a:graphic>
                </wp:inline>
              </w:drawing>
            </w:r>
          </w:p>
        </w:tc>
        <w:tc>
          <w:tcPr>
            <w:tcW w:w="4694" w:type="dxa"/>
          </w:tcPr>
          <w:p w14:paraId="565BA7CE" w14:textId="77777777" w:rsidR="002B02EC" w:rsidRPr="005336A7" w:rsidRDefault="00946626" w:rsidP="0099510E">
            <w:pPr>
              <w:widowControl w:val="0"/>
              <w:autoSpaceDE w:val="0"/>
              <w:spacing w:after="240"/>
              <w:jc w:val="both"/>
              <w:rPr>
                <w:lang w:val="en-GB"/>
              </w:rPr>
            </w:pPr>
            <w:r>
              <w:rPr>
                <w:noProof/>
                <w:lang w:val="en-US" w:eastAsia="ru-RU"/>
              </w:rPr>
              <w:drawing>
                <wp:inline distT="0" distB="0" distL="0" distR="0" wp14:anchorId="16DB5A12" wp14:editId="781B2786">
                  <wp:extent cx="3030855" cy="1725295"/>
                  <wp:effectExtent l="0" t="0" r="0" b="1905"/>
                  <wp:docPr id="11" name="Рисунок 11" descr="sng_prec_81_djf_2019_f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ng_prec_81_djf_2019_fact.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0855" cy="1725295"/>
                          </a:xfrm>
                          <a:prstGeom prst="rect">
                            <a:avLst/>
                          </a:prstGeom>
                          <a:noFill/>
                          <a:ln>
                            <a:noFill/>
                          </a:ln>
                        </pic:spPr>
                      </pic:pic>
                    </a:graphicData>
                  </a:graphic>
                </wp:inline>
              </w:drawing>
            </w:r>
          </w:p>
        </w:tc>
      </w:tr>
    </w:tbl>
    <w:p w14:paraId="0C6B098D" w14:textId="77777777" w:rsidR="002B02EC" w:rsidRPr="005336A7" w:rsidRDefault="002B02EC" w:rsidP="00D37EEA">
      <w:pPr>
        <w:widowControl w:val="0"/>
        <w:autoSpaceDE w:val="0"/>
        <w:spacing w:after="240"/>
        <w:rPr>
          <w:lang w:val="en-GB"/>
        </w:rPr>
      </w:pPr>
      <w:r w:rsidRPr="005336A7">
        <w:rPr>
          <w:lang w:val="en-GB"/>
        </w:rPr>
        <w:t xml:space="preserve">а)                         </w:t>
      </w:r>
      <w:r w:rsidRPr="005336A7">
        <w:rPr>
          <w:lang w:val="en-GB"/>
        </w:rPr>
        <w:tab/>
      </w:r>
      <w:r w:rsidRPr="005336A7">
        <w:rPr>
          <w:lang w:val="en-GB"/>
        </w:rPr>
        <w:tab/>
      </w:r>
      <w:r w:rsidRPr="005336A7">
        <w:rPr>
          <w:lang w:val="en-GB"/>
        </w:rPr>
        <w:tab/>
      </w:r>
      <w:r w:rsidRPr="005336A7">
        <w:rPr>
          <w:lang w:val="en-GB"/>
        </w:rPr>
        <w:tab/>
      </w:r>
      <w:r w:rsidRPr="005336A7">
        <w:rPr>
          <w:lang w:val="en-GB"/>
        </w:rPr>
        <w:tab/>
      </w:r>
      <w:r w:rsidRPr="005336A7">
        <w:rPr>
          <w:lang w:val="en-GB"/>
        </w:rPr>
        <w:tab/>
        <w:t>б)</w:t>
      </w:r>
    </w:p>
    <w:p w14:paraId="015A2B89" w14:textId="77777777" w:rsidR="002B02EC" w:rsidRPr="005336A7" w:rsidRDefault="002B02EC" w:rsidP="00851E9E">
      <w:pPr>
        <w:widowControl w:val="0"/>
        <w:autoSpaceDE w:val="0"/>
        <w:spacing w:after="240"/>
        <w:jc w:val="both"/>
        <w:rPr>
          <w:rFonts w:ascii="Times New Roman" w:hAnsi="Times New Roman"/>
          <w:sz w:val="20"/>
          <w:szCs w:val="20"/>
          <w:lang w:val="en-GB"/>
        </w:rPr>
      </w:pPr>
      <w:r w:rsidRPr="005336A7">
        <w:rPr>
          <w:rFonts w:ascii="Times New Roman" w:hAnsi="Times New Roman"/>
          <w:sz w:val="20"/>
          <w:szCs w:val="20"/>
          <w:lang w:val="en-GB"/>
        </w:rPr>
        <w:t>Figure 4 Maps of a) consistency of precipitation forecasts on the basis of a combination of forecasts from dynamic models (</w:t>
      </w:r>
      <w:proofErr w:type="spellStart"/>
      <w:r w:rsidRPr="005336A7">
        <w:rPr>
          <w:rFonts w:ascii="Times New Roman" w:hAnsi="Times New Roman"/>
          <w:sz w:val="20"/>
          <w:szCs w:val="20"/>
          <w:lang w:val="en-GB"/>
        </w:rPr>
        <w:t>Sl</w:t>
      </w:r>
      <w:proofErr w:type="spellEnd"/>
      <w:r w:rsidRPr="005336A7">
        <w:rPr>
          <w:rFonts w:ascii="Times New Roman" w:hAnsi="Times New Roman"/>
          <w:sz w:val="20"/>
          <w:szCs w:val="20"/>
          <w:lang w:val="en-GB"/>
        </w:rPr>
        <w:t xml:space="preserve">-AV, MGO, TCC, </w:t>
      </w:r>
      <w:proofErr w:type="spellStart"/>
      <w:r w:rsidRPr="005336A7">
        <w:rPr>
          <w:rFonts w:ascii="Times New Roman" w:hAnsi="Times New Roman"/>
          <w:sz w:val="20"/>
          <w:szCs w:val="20"/>
          <w:lang w:val="en-GB"/>
        </w:rPr>
        <w:t>CanSIP</w:t>
      </w:r>
      <w:proofErr w:type="spellEnd"/>
      <w:r w:rsidRPr="005336A7">
        <w:rPr>
          <w:rFonts w:ascii="Times New Roman" w:hAnsi="Times New Roman"/>
          <w:sz w:val="20"/>
          <w:szCs w:val="20"/>
          <w:lang w:val="en-GB"/>
        </w:rPr>
        <w:t>, CFS2) b) distribution of precipitation anomalies from NCEP/NCAR reanalysis, DJF 2019/2020</w:t>
      </w:r>
    </w:p>
    <w:p w14:paraId="7B44DAEB" w14:textId="77777777" w:rsidR="002B02EC" w:rsidRPr="005336A7" w:rsidRDefault="002B02EC" w:rsidP="00AC27D6">
      <w:pPr>
        <w:widowControl w:val="0"/>
        <w:autoSpaceDE w:val="0"/>
        <w:spacing w:after="240"/>
        <w:rPr>
          <w:rFonts w:ascii="Times New Roman" w:hAnsi="Times New Roman"/>
          <w:lang w:val="en-GB"/>
        </w:rPr>
      </w:pPr>
      <w:r w:rsidRPr="005336A7">
        <w:rPr>
          <w:rFonts w:ascii="Times New Roman" w:hAnsi="Times New Roman"/>
          <w:lang w:val="en-GB"/>
        </w:rPr>
        <w:t>Skill score of forecasts (%), DJF 2019/2020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9"/>
        <w:gridCol w:w="1869"/>
        <w:gridCol w:w="1869"/>
        <w:gridCol w:w="1869"/>
        <w:gridCol w:w="1869"/>
      </w:tblGrid>
      <w:tr w:rsidR="002B02EC" w:rsidRPr="005336A7" w14:paraId="14BA8FDB" w14:textId="77777777" w:rsidTr="00AC27D6">
        <w:tc>
          <w:tcPr>
            <w:tcW w:w="1869" w:type="dxa"/>
          </w:tcPr>
          <w:p w14:paraId="1B8F5366" w14:textId="77777777" w:rsidR="002B02EC" w:rsidRPr="005336A7" w:rsidRDefault="002B02EC" w:rsidP="00AC27D6">
            <w:pPr>
              <w:rPr>
                <w:rFonts w:ascii="Times New Roman" w:hAnsi="Times New Roman"/>
                <w:lang w:val="en-GB"/>
              </w:rPr>
            </w:pPr>
          </w:p>
        </w:tc>
        <w:tc>
          <w:tcPr>
            <w:tcW w:w="1869" w:type="dxa"/>
          </w:tcPr>
          <w:p w14:paraId="647F2FF7" w14:textId="77777777" w:rsidR="002B02EC" w:rsidRPr="005336A7" w:rsidRDefault="002B02EC" w:rsidP="00AC27D6">
            <w:pPr>
              <w:rPr>
                <w:rFonts w:ascii="Times New Roman" w:hAnsi="Times New Roman"/>
                <w:lang w:val="en-GB"/>
              </w:rPr>
            </w:pPr>
            <w:r w:rsidRPr="005336A7">
              <w:rPr>
                <w:rFonts w:ascii="Times New Roman" w:hAnsi="Times New Roman"/>
                <w:sz w:val="22"/>
                <w:szCs w:val="22"/>
                <w:lang w:val="en-GB"/>
              </w:rPr>
              <w:t>North Eurasia</w:t>
            </w:r>
          </w:p>
        </w:tc>
        <w:tc>
          <w:tcPr>
            <w:tcW w:w="1869" w:type="dxa"/>
          </w:tcPr>
          <w:p w14:paraId="7E60149B" w14:textId="77777777" w:rsidR="002B02EC" w:rsidRPr="005336A7" w:rsidRDefault="002B02EC" w:rsidP="00AC27D6">
            <w:pPr>
              <w:rPr>
                <w:rFonts w:ascii="Times New Roman" w:hAnsi="Times New Roman"/>
                <w:lang w:val="en-GB"/>
              </w:rPr>
            </w:pPr>
            <w:r w:rsidRPr="005336A7">
              <w:rPr>
                <w:rFonts w:ascii="Times New Roman" w:hAnsi="Times New Roman"/>
                <w:sz w:val="22"/>
                <w:szCs w:val="22"/>
                <w:lang w:val="en-GB"/>
              </w:rPr>
              <w:t>European part</w:t>
            </w:r>
          </w:p>
        </w:tc>
        <w:tc>
          <w:tcPr>
            <w:tcW w:w="1869" w:type="dxa"/>
          </w:tcPr>
          <w:p w14:paraId="47038481" w14:textId="77777777" w:rsidR="002B02EC" w:rsidRPr="005336A7" w:rsidRDefault="002B02EC" w:rsidP="00AC27D6">
            <w:pPr>
              <w:rPr>
                <w:rFonts w:ascii="Times New Roman" w:hAnsi="Times New Roman"/>
                <w:lang w:val="en-GB"/>
              </w:rPr>
            </w:pPr>
            <w:r w:rsidRPr="005336A7">
              <w:rPr>
                <w:rFonts w:ascii="Times New Roman" w:hAnsi="Times New Roman"/>
                <w:sz w:val="22"/>
                <w:szCs w:val="22"/>
                <w:lang w:val="en-GB"/>
              </w:rPr>
              <w:t>Asian part</w:t>
            </w:r>
          </w:p>
        </w:tc>
        <w:tc>
          <w:tcPr>
            <w:tcW w:w="1869" w:type="dxa"/>
          </w:tcPr>
          <w:p w14:paraId="6CFF2EFD" w14:textId="77777777" w:rsidR="002B02EC" w:rsidRPr="005336A7" w:rsidRDefault="002B02EC" w:rsidP="00AC27D6">
            <w:pPr>
              <w:rPr>
                <w:rFonts w:ascii="Times New Roman" w:hAnsi="Times New Roman"/>
                <w:lang w:val="en-GB"/>
              </w:rPr>
            </w:pPr>
            <w:r w:rsidRPr="005336A7">
              <w:rPr>
                <w:rFonts w:ascii="Times New Roman" w:hAnsi="Times New Roman"/>
                <w:sz w:val="22"/>
                <w:szCs w:val="22"/>
                <w:lang w:val="en-GB"/>
              </w:rPr>
              <w:t>Central Asia and Kazakhstan</w:t>
            </w:r>
          </w:p>
        </w:tc>
      </w:tr>
      <w:tr w:rsidR="002B02EC" w:rsidRPr="005336A7" w14:paraId="49B42922" w14:textId="77777777" w:rsidTr="00AC27D6">
        <w:tc>
          <w:tcPr>
            <w:tcW w:w="1869" w:type="dxa"/>
          </w:tcPr>
          <w:p w14:paraId="542D866B" w14:textId="77777777" w:rsidR="002B02EC" w:rsidRPr="005336A7" w:rsidRDefault="002B02EC" w:rsidP="00AC27D6">
            <w:pPr>
              <w:rPr>
                <w:rFonts w:ascii="Times New Roman" w:hAnsi="Times New Roman"/>
                <w:lang w:val="en-GB"/>
              </w:rPr>
            </w:pPr>
            <w:r w:rsidRPr="005336A7">
              <w:rPr>
                <w:rFonts w:ascii="Times New Roman" w:hAnsi="Times New Roman"/>
                <w:sz w:val="22"/>
                <w:szCs w:val="22"/>
                <w:lang w:val="en-GB"/>
              </w:rPr>
              <w:t>T2m</w:t>
            </w:r>
          </w:p>
        </w:tc>
        <w:tc>
          <w:tcPr>
            <w:tcW w:w="1869" w:type="dxa"/>
          </w:tcPr>
          <w:p w14:paraId="718AAA1C" w14:textId="77777777" w:rsidR="002B02EC" w:rsidRPr="005336A7" w:rsidRDefault="002B02EC" w:rsidP="00AC27D6">
            <w:pPr>
              <w:rPr>
                <w:rFonts w:ascii="Times New Roman" w:hAnsi="Times New Roman"/>
                <w:lang w:val="en-GB"/>
              </w:rPr>
            </w:pPr>
            <w:r w:rsidRPr="005336A7">
              <w:rPr>
                <w:rFonts w:ascii="Times New Roman" w:hAnsi="Times New Roman"/>
                <w:sz w:val="22"/>
                <w:szCs w:val="22"/>
                <w:lang w:val="en-GB"/>
              </w:rPr>
              <w:t>71</w:t>
            </w:r>
          </w:p>
        </w:tc>
        <w:tc>
          <w:tcPr>
            <w:tcW w:w="1869" w:type="dxa"/>
          </w:tcPr>
          <w:p w14:paraId="6FACDBF2" w14:textId="77777777" w:rsidR="002B02EC" w:rsidRPr="005336A7" w:rsidRDefault="002B02EC" w:rsidP="00AC27D6">
            <w:pPr>
              <w:rPr>
                <w:rFonts w:ascii="Times New Roman" w:hAnsi="Times New Roman"/>
                <w:lang w:val="en-GB"/>
              </w:rPr>
            </w:pPr>
            <w:r w:rsidRPr="005336A7">
              <w:rPr>
                <w:rFonts w:ascii="Times New Roman" w:hAnsi="Times New Roman"/>
                <w:sz w:val="22"/>
                <w:szCs w:val="22"/>
                <w:lang w:val="en-GB"/>
              </w:rPr>
              <w:t>65</w:t>
            </w:r>
          </w:p>
        </w:tc>
        <w:tc>
          <w:tcPr>
            <w:tcW w:w="1869" w:type="dxa"/>
          </w:tcPr>
          <w:p w14:paraId="557EC2C8" w14:textId="77777777" w:rsidR="002B02EC" w:rsidRPr="005336A7" w:rsidRDefault="002B02EC" w:rsidP="00AC27D6">
            <w:pPr>
              <w:rPr>
                <w:rFonts w:ascii="Times New Roman" w:hAnsi="Times New Roman"/>
                <w:lang w:val="en-GB"/>
              </w:rPr>
            </w:pPr>
            <w:r w:rsidRPr="005336A7">
              <w:rPr>
                <w:rFonts w:ascii="Times New Roman" w:hAnsi="Times New Roman"/>
                <w:sz w:val="22"/>
                <w:szCs w:val="22"/>
                <w:lang w:val="en-GB"/>
              </w:rPr>
              <w:t>76</w:t>
            </w:r>
          </w:p>
        </w:tc>
        <w:tc>
          <w:tcPr>
            <w:tcW w:w="1869" w:type="dxa"/>
          </w:tcPr>
          <w:p w14:paraId="7B0353D6" w14:textId="77777777" w:rsidR="002B02EC" w:rsidRPr="005336A7" w:rsidRDefault="002B02EC" w:rsidP="00AC27D6">
            <w:pPr>
              <w:rPr>
                <w:rFonts w:ascii="Times New Roman" w:hAnsi="Times New Roman"/>
                <w:lang w:val="en-GB"/>
              </w:rPr>
            </w:pPr>
            <w:r w:rsidRPr="005336A7">
              <w:rPr>
                <w:rFonts w:ascii="Times New Roman" w:hAnsi="Times New Roman"/>
                <w:sz w:val="22"/>
                <w:szCs w:val="22"/>
                <w:lang w:val="en-GB"/>
              </w:rPr>
              <w:t>67</w:t>
            </w:r>
          </w:p>
        </w:tc>
      </w:tr>
      <w:tr w:rsidR="002B02EC" w:rsidRPr="005336A7" w14:paraId="4850D74A" w14:textId="77777777" w:rsidTr="00AC27D6">
        <w:tc>
          <w:tcPr>
            <w:tcW w:w="1869" w:type="dxa"/>
          </w:tcPr>
          <w:p w14:paraId="1F9AE8E0" w14:textId="77777777" w:rsidR="002B02EC" w:rsidRPr="005336A7" w:rsidRDefault="002B02EC" w:rsidP="00AC27D6">
            <w:pPr>
              <w:rPr>
                <w:rFonts w:ascii="Times New Roman" w:hAnsi="Times New Roman"/>
                <w:lang w:val="en-GB"/>
              </w:rPr>
            </w:pPr>
            <w:proofErr w:type="spellStart"/>
            <w:r w:rsidRPr="005336A7">
              <w:rPr>
                <w:rFonts w:ascii="Times New Roman" w:hAnsi="Times New Roman"/>
                <w:sz w:val="22"/>
                <w:szCs w:val="22"/>
                <w:lang w:val="en-GB"/>
              </w:rPr>
              <w:t>Prec</w:t>
            </w:r>
            <w:proofErr w:type="spellEnd"/>
          </w:p>
        </w:tc>
        <w:tc>
          <w:tcPr>
            <w:tcW w:w="1869" w:type="dxa"/>
          </w:tcPr>
          <w:p w14:paraId="14E4A5F4" w14:textId="77777777" w:rsidR="002B02EC" w:rsidRPr="005336A7" w:rsidRDefault="002B02EC" w:rsidP="00AC27D6">
            <w:pPr>
              <w:rPr>
                <w:rFonts w:ascii="Times New Roman" w:hAnsi="Times New Roman"/>
                <w:lang w:val="en-GB"/>
              </w:rPr>
            </w:pPr>
            <w:r w:rsidRPr="005336A7">
              <w:rPr>
                <w:rFonts w:ascii="Times New Roman" w:hAnsi="Times New Roman"/>
                <w:sz w:val="22"/>
                <w:szCs w:val="22"/>
                <w:lang w:val="en-GB"/>
              </w:rPr>
              <w:t>68</w:t>
            </w:r>
          </w:p>
        </w:tc>
        <w:tc>
          <w:tcPr>
            <w:tcW w:w="1869" w:type="dxa"/>
          </w:tcPr>
          <w:p w14:paraId="22BF4D8C" w14:textId="77777777" w:rsidR="002B02EC" w:rsidRPr="005336A7" w:rsidRDefault="002B02EC" w:rsidP="00AC27D6">
            <w:pPr>
              <w:rPr>
                <w:rFonts w:ascii="Times New Roman" w:hAnsi="Times New Roman"/>
                <w:lang w:val="en-GB"/>
              </w:rPr>
            </w:pPr>
            <w:r w:rsidRPr="005336A7">
              <w:rPr>
                <w:rFonts w:ascii="Times New Roman" w:hAnsi="Times New Roman"/>
                <w:sz w:val="22"/>
                <w:szCs w:val="22"/>
                <w:lang w:val="en-GB"/>
              </w:rPr>
              <w:t>64</w:t>
            </w:r>
          </w:p>
        </w:tc>
        <w:tc>
          <w:tcPr>
            <w:tcW w:w="1869" w:type="dxa"/>
          </w:tcPr>
          <w:p w14:paraId="200EA76A" w14:textId="77777777" w:rsidR="002B02EC" w:rsidRPr="005336A7" w:rsidRDefault="002B02EC" w:rsidP="00AC27D6">
            <w:pPr>
              <w:rPr>
                <w:rFonts w:ascii="Times New Roman" w:hAnsi="Times New Roman"/>
                <w:lang w:val="en-GB"/>
              </w:rPr>
            </w:pPr>
            <w:r w:rsidRPr="005336A7">
              <w:rPr>
                <w:rFonts w:ascii="Times New Roman" w:hAnsi="Times New Roman"/>
                <w:sz w:val="22"/>
                <w:szCs w:val="22"/>
                <w:lang w:val="en-GB"/>
              </w:rPr>
              <w:t>70</w:t>
            </w:r>
          </w:p>
        </w:tc>
        <w:tc>
          <w:tcPr>
            <w:tcW w:w="1869" w:type="dxa"/>
          </w:tcPr>
          <w:p w14:paraId="6D393FC8" w14:textId="77777777" w:rsidR="002B02EC" w:rsidRPr="005336A7" w:rsidRDefault="002B02EC" w:rsidP="00AC27D6">
            <w:pPr>
              <w:rPr>
                <w:rFonts w:ascii="Times New Roman" w:hAnsi="Times New Roman"/>
                <w:lang w:val="en-GB"/>
              </w:rPr>
            </w:pPr>
            <w:r w:rsidRPr="005336A7">
              <w:rPr>
                <w:rFonts w:ascii="Times New Roman" w:hAnsi="Times New Roman"/>
                <w:sz w:val="22"/>
                <w:szCs w:val="22"/>
                <w:lang w:val="en-GB"/>
              </w:rPr>
              <w:t>68</w:t>
            </w:r>
          </w:p>
        </w:tc>
      </w:tr>
    </w:tbl>
    <w:p w14:paraId="606000A1" w14:textId="77777777" w:rsidR="002B02EC" w:rsidRPr="005336A7" w:rsidRDefault="002B02EC" w:rsidP="005F4679">
      <w:pPr>
        <w:rPr>
          <w:lang w:val="en-GB"/>
        </w:rPr>
      </w:pPr>
    </w:p>
    <w:p w14:paraId="5E051D05" w14:textId="77777777" w:rsidR="002B02EC" w:rsidRPr="005336A7" w:rsidRDefault="002B02EC" w:rsidP="00316B72">
      <w:pPr>
        <w:widowControl w:val="0"/>
        <w:autoSpaceDE w:val="0"/>
        <w:spacing w:after="240"/>
        <w:jc w:val="both"/>
        <w:rPr>
          <w:rFonts w:ascii="Times New Roman" w:hAnsi="Times New Roman"/>
          <w:b/>
          <w:bCs/>
          <w:color w:val="0000FF"/>
          <w:lang w:val="en-GB"/>
        </w:rPr>
      </w:pPr>
      <w:r w:rsidRPr="005336A7">
        <w:rPr>
          <w:rFonts w:ascii="Times New Roman" w:hAnsi="Times New Roman"/>
          <w:color w:val="000000"/>
          <w:kern w:val="1"/>
          <w:lang w:val="en-GB"/>
        </w:rPr>
        <w:t xml:space="preserve">The skill score of the consensus forecast over the territory of northern Eurasia was 71% for air temperature and 68% for precipitation. The forecast accuracies for the Asian territory were higher than for the European part. </w:t>
      </w:r>
    </w:p>
    <w:p w14:paraId="05371E50" w14:textId="77777777" w:rsidR="002B02EC" w:rsidRPr="005336A7" w:rsidRDefault="002B02EC" w:rsidP="0021642E">
      <w:pPr>
        <w:pStyle w:val="ac"/>
        <w:kinsoku w:val="0"/>
        <w:overflowPunct w:val="0"/>
        <w:ind w:left="0"/>
        <w:jc w:val="both"/>
        <w:textAlignment w:val="baseline"/>
        <w:rPr>
          <w:rFonts w:eastAsia="MS Mincho"/>
          <w:b/>
          <w:bCs/>
          <w:lang w:val="en-GB" w:eastAsia="ar-SA"/>
        </w:rPr>
      </w:pPr>
      <w:proofErr w:type="gramStart"/>
      <w:r w:rsidRPr="005336A7">
        <w:rPr>
          <w:rFonts w:eastAsia="MS Mincho"/>
          <w:b/>
          <w:bCs/>
          <w:lang w:val="en-GB" w:eastAsia="ar-SA"/>
        </w:rPr>
        <w:t>The main features of the SST and large-scale atmospheric circulation for the JJA 2020.</w:t>
      </w:r>
      <w:proofErr w:type="gramEnd"/>
    </w:p>
    <w:p w14:paraId="2E92A035" w14:textId="77777777" w:rsidR="002B02EC" w:rsidRPr="005336A7" w:rsidRDefault="002B02EC" w:rsidP="0021642E">
      <w:pPr>
        <w:pStyle w:val="ac"/>
        <w:kinsoku w:val="0"/>
        <w:overflowPunct w:val="0"/>
        <w:ind w:left="0"/>
        <w:jc w:val="both"/>
        <w:textAlignment w:val="baseline"/>
        <w:rPr>
          <w:rFonts w:eastAsia="MS Mincho"/>
          <w:b/>
          <w:bCs/>
          <w:lang w:val="en-GB" w:eastAsia="ar-SA"/>
        </w:rPr>
      </w:pPr>
    </w:p>
    <w:p w14:paraId="4A18CD1F" w14:textId="77777777" w:rsidR="002B02EC" w:rsidRPr="005336A7" w:rsidRDefault="002B02EC" w:rsidP="00697FCC">
      <w:pPr>
        <w:pStyle w:val="ac"/>
        <w:kinsoku w:val="0"/>
        <w:overflowPunct w:val="0"/>
        <w:ind w:left="0"/>
        <w:jc w:val="both"/>
        <w:textAlignment w:val="baseline"/>
        <w:rPr>
          <w:bCs/>
          <w:lang w:val="en-GB"/>
        </w:rPr>
      </w:pPr>
      <w:r w:rsidRPr="005336A7">
        <w:rPr>
          <w:bCs/>
          <w:lang w:val="en-GB"/>
        </w:rPr>
        <w:t>For upcoming summer 2020, most global forecasting centres predict so high positive anomalies of SST in the North Pacific that the positions of the main patterns of the atmosphere as well as of storm tracks can be remarkably displaced in the Pacific. Weak negative anomalies are expected only in equatorial latitudes, mainly in the east. According to IRI / CPC forecasts, the probabilities of the events of La Nina, the neutral phase and El Nino (Nino3.4, threshold values: -0.5 ° C and 0.5 ° C) in the coming summer season are 17%, 66% and 17%, respectively.</w:t>
      </w:r>
    </w:p>
    <w:p w14:paraId="3481FD1F" w14:textId="77777777" w:rsidR="002B02EC" w:rsidRPr="005336A7" w:rsidRDefault="002B02EC" w:rsidP="00697FCC">
      <w:pPr>
        <w:pStyle w:val="ac"/>
        <w:kinsoku w:val="0"/>
        <w:overflowPunct w:val="0"/>
        <w:ind w:left="0"/>
        <w:jc w:val="both"/>
        <w:textAlignment w:val="baseline"/>
        <w:rPr>
          <w:bCs/>
          <w:lang w:val="en-GB"/>
        </w:rPr>
      </w:pPr>
    </w:p>
    <w:p w14:paraId="79D86673" w14:textId="77777777" w:rsidR="002B02EC" w:rsidRPr="005336A7" w:rsidRDefault="002B02EC" w:rsidP="00697FCC">
      <w:pPr>
        <w:pStyle w:val="ac"/>
        <w:kinsoku w:val="0"/>
        <w:overflowPunct w:val="0"/>
        <w:ind w:left="0"/>
        <w:jc w:val="both"/>
        <w:textAlignment w:val="baseline"/>
        <w:rPr>
          <w:bCs/>
          <w:lang w:val="en-GB"/>
        </w:rPr>
      </w:pPr>
      <w:r w:rsidRPr="005336A7">
        <w:rPr>
          <w:bCs/>
          <w:lang w:val="en-GB"/>
        </w:rPr>
        <w:t xml:space="preserve">In the north of the Indian Ocean and the adjoining southeast Asia seas, positive temperature anomalies are expected. A decrease in temperature contrasts between land and sea can make the summer monsoon weaker in the subtropical and tropical latitudes of </w:t>
      </w:r>
      <w:proofErr w:type="gramStart"/>
      <w:r w:rsidRPr="005336A7">
        <w:rPr>
          <w:bCs/>
          <w:lang w:val="en-GB"/>
        </w:rPr>
        <w:t>southeast</w:t>
      </w:r>
      <w:proofErr w:type="gramEnd"/>
      <w:r w:rsidRPr="005336A7">
        <w:rPr>
          <w:bCs/>
          <w:lang w:val="en-GB"/>
        </w:rPr>
        <w:t xml:space="preserve"> Asia.</w:t>
      </w:r>
    </w:p>
    <w:p w14:paraId="7DDF41F5" w14:textId="77777777" w:rsidR="002B02EC" w:rsidRPr="005336A7" w:rsidRDefault="002B02EC" w:rsidP="00697FCC">
      <w:pPr>
        <w:pStyle w:val="ac"/>
        <w:kinsoku w:val="0"/>
        <w:overflowPunct w:val="0"/>
        <w:ind w:left="0"/>
        <w:jc w:val="both"/>
        <w:textAlignment w:val="baseline"/>
        <w:rPr>
          <w:bCs/>
          <w:lang w:val="en-GB"/>
        </w:rPr>
      </w:pPr>
      <w:r w:rsidRPr="005336A7">
        <w:rPr>
          <w:bCs/>
          <w:lang w:val="en-GB"/>
        </w:rPr>
        <w:t xml:space="preserve">In the North Atlantic, the distribution of SST anomalies corresponds to the negative </w:t>
      </w:r>
      <w:proofErr w:type="spellStart"/>
      <w:r w:rsidRPr="005336A7">
        <w:rPr>
          <w:bCs/>
          <w:lang w:val="en-GB"/>
        </w:rPr>
        <w:t>tripole</w:t>
      </w:r>
      <w:proofErr w:type="spellEnd"/>
      <w:r w:rsidRPr="005336A7">
        <w:rPr>
          <w:bCs/>
          <w:lang w:val="en-GB"/>
        </w:rPr>
        <w:t xml:space="preserve"> phase associated with the negative NAO phase. Significant positive SST anomalies are expected in the west of tropical latitudes.</w:t>
      </w:r>
    </w:p>
    <w:p w14:paraId="78F261B1" w14:textId="77777777" w:rsidR="002B02EC" w:rsidRPr="005336A7" w:rsidRDefault="002B02EC" w:rsidP="007E7FBB">
      <w:pPr>
        <w:pStyle w:val="ac"/>
        <w:kinsoku w:val="0"/>
        <w:overflowPunct w:val="0"/>
        <w:spacing w:line="192" w:lineRule="auto"/>
        <w:ind w:left="0"/>
        <w:textAlignment w:val="baseline"/>
        <w:rPr>
          <w:sz w:val="28"/>
          <w:lang w:val="en-GB"/>
        </w:rPr>
      </w:pPr>
    </w:p>
    <w:p w14:paraId="059AAFBA" w14:textId="77777777" w:rsidR="002B02EC" w:rsidRPr="005336A7" w:rsidRDefault="002B02EC" w:rsidP="0000268A">
      <w:pPr>
        <w:pStyle w:val="ac"/>
        <w:kinsoku w:val="0"/>
        <w:overflowPunct w:val="0"/>
        <w:spacing w:line="192" w:lineRule="auto"/>
        <w:textAlignment w:val="baseline"/>
        <w:rPr>
          <w:sz w:val="28"/>
          <w:lang w:val="en-GB"/>
        </w:rPr>
      </w:pPr>
    </w:p>
    <w:p w14:paraId="1A541FC1" w14:textId="77777777" w:rsidR="002B02EC" w:rsidRPr="005336A7" w:rsidRDefault="002B02EC" w:rsidP="0000268A">
      <w:pPr>
        <w:pStyle w:val="110"/>
        <w:kinsoku w:val="0"/>
        <w:overflowPunct w:val="0"/>
        <w:ind w:left="0"/>
        <w:jc w:val="both"/>
        <w:textAlignment w:val="baseline"/>
        <w:rPr>
          <w:b/>
          <w:color w:val="000000"/>
          <w:shd w:val="clear" w:color="auto" w:fill="FFFFFF"/>
          <w:lang w:val="en-GB"/>
        </w:rPr>
      </w:pPr>
      <w:proofErr w:type="gramStart"/>
      <w:r w:rsidRPr="005336A7">
        <w:rPr>
          <w:b/>
          <w:color w:val="000000"/>
          <w:shd w:val="clear" w:color="auto" w:fill="FFFFFF"/>
          <w:lang w:val="en-GB"/>
        </w:rPr>
        <w:t>Consensus forecast of anomalies in surface air temperature and precipitation for JJA 2020.</w:t>
      </w:r>
      <w:proofErr w:type="gramEnd"/>
    </w:p>
    <w:p w14:paraId="2852F6E5" w14:textId="77777777" w:rsidR="002B02EC" w:rsidRPr="005336A7" w:rsidRDefault="002B02EC" w:rsidP="0000268A">
      <w:pPr>
        <w:pStyle w:val="110"/>
        <w:kinsoku w:val="0"/>
        <w:overflowPunct w:val="0"/>
        <w:ind w:left="0"/>
        <w:jc w:val="both"/>
        <w:textAlignment w:val="baseline"/>
        <w:rPr>
          <w:b/>
          <w:color w:val="000000"/>
          <w:shd w:val="clear" w:color="auto" w:fill="FFFFFF"/>
          <w:lang w:val="en-GB"/>
        </w:rPr>
      </w:pPr>
    </w:p>
    <w:p w14:paraId="11D6897C" w14:textId="77777777" w:rsidR="002B02EC" w:rsidRPr="005336A7" w:rsidRDefault="002B02EC" w:rsidP="00E55FC4">
      <w:pPr>
        <w:pStyle w:val="110"/>
        <w:kinsoku w:val="0"/>
        <w:overflowPunct w:val="0"/>
        <w:ind w:left="0"/>
        <w:jc w:val="both"/>
        <w:textAlignment w:val="baseline"/>
        <w:rPr>
          <w:rFonts w:eastAsia="MS Mincho"/>
          <w:lang w:val="en-GB"/>
        </w:rPr>
      </w:pPr>
      <w:r w:rsidRPr="005336A7">
        <w:rPr>
          <w:rFonts w:eastAsia="MS Mincho"/>
          <w:lang w:val="en-GB"/>
        </w:rPr>
        <w:t xml:space="preserve">The air temperature is expected to be above normal over Siberia and the Far East excluding the southern regions. The highest probability (in excess of 60%) is anticipated over Western Siberia (Fig.5). The forecast </w:t>
      </w:r>
      <w:proofErr w:type="spellStart"/>
      <w:r w:rsidRPr="005336A7">
        <w:rPr>
          <w:rFonts w:eastAsia="MS Mincho"/>
          <w:lang w:val="en-GB"/>
        </w:rPr>
        <w:t>uncertatinty</w:t>
      </w:r>
      <w:proofErr w:type="spellEnd"/>
      <w:r w:rsidRPr="005336A7">
        <w:rPr>
          <w:rFonts w:eastAsia="MS Mincho"/>
          <w:lang w:val="en-GB"/>
        </w:rPr>
        <w:t xml:space="preserve"> for the southern regions of the Asian part is high. Positive </w:t>
      </w:r>
      <w:r w:rsidRPr="005336A7">
        <w:rPr>
          <w:rFonts w:eastAsia="MS Mincho"/>
          <w:lang w:val="en-GB"/>
        </w:rPr>
        <w:lastRenderedPageBreak/>
        <w:t xml:space="preserve">temperature anomalies are predicted with a probability of about 40% in Uzbekistan, Turkmenistan, Kyrgyzstan and Tajikistan, and in the southern, western and eastern regions of Kazakhstan. The air temperature forecast signal over largest European part is weak, with possible tendencies to negative anomalies in the </w:t>
      </w:r>
      <w:proofErr w:type="spellStart"/>
      <w:r w:rsidRPr="005336A7">
        <w:rPr>
          <w:rFonts w:eastAsia="MS Mincho"/>
          <w:lang w:val="en-GB"/>
        </w:rPr>
        <w:t>northwestern</w:t>
      </w:r>
      <w:proofErr w:type="spellEnd"/>
      <w:r w:rsidRPr="005336A7">
        <w:rPr>
          <w:rFonts w:eastAsia="MS Mincho"/>
          <w:lang w:val="en-GB"/>
        </w:rPr>
        <w:t xml:space="preserve"> regions. In the southern regions of the European part, the temperature is expected to be above normal with a probability of about 40%.</w:t>
      </w:r>
    </w:p>
    <w:p w14:paraId="6E6508CD" w14:textId="77777777" w:rsidR="002B02EC" w:rsidRPr="005336A7" w:rsidRDefault="00946626" w:rsidP="00E55FC4">
      <w:pPr>
        <w:pStyle w:val="110"/>
        <w:kinsoku w:val="0"/>
        <w:overflowPunct w:val="0"/>
        <w:ind w:left="0"/>
        <w:jc w:val="both"/>
        <w:textAlignment w:val="baseline"/>
        <w:rPr>
          <w:lang w:val="en-GB"/>
        </w:rPr>
      </w:pPr>
      <w:r>
        <w:rPr>
          <w:rFonts w:ascii="Arial" w:hAnsi="Arial" w:cs="Arial"/>
          <w:noProof/>
          <w:color w:val="000000"/>
          <w:kern w:val="1"/>
          <w:lang w:val="en-US" w:eastAsia="ru-RU"/>
        </w:rPr>
        <w:drawing>
          <wp:inline distT="0" distB="0" distL="0" distR="0" wp14:anchorId="44C8285B" wp14:editId="4DC0FB75">
            <wp:extent cx="5995220" cy="3430635"/>
            <wp:effectExtent l="0" t="0" r="0" b="0"/>
            <wp:docPr id="12" name="Изображение 20" descr="Macintosh HD:Users:valent:Desktop:СЕАКОФ18:t2m_jja_2020_m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0" descr="Macintosh HD:Users:valent:Desktop:СЕАКОФ18:t2m_jja_2020_mea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6241" cy="3431219"/>
                    </a:xfrm>
                    <a:prstGeom prst="rect">
                      <a:avLst/>
                    </a:prstGeom>
                    <a:noFill/>
                    <a:ln>
                      <a:noFill/>
                    </a:ln>
                  </pic:spPr>
                </pic:pic>
              </a:graphicData>
            </a:graphic>
          </wp:inline>
        </w:drawing>
      </w:r>
    </w:p>
    <w:p w14:paraId="350F8780" w14:textId="77777777" w:rsidR="002B02EC" w:rsidRPr="005336A7" w:rsidRDefault="002B02EC" w:rsidP="00E76A15">
      <w:pPr>
        <w:widowControl w:val="0"/>
        <w:autoSpaceDE w:val="0"/>
        <w:spacing w:after="240"/>
        <w:jc w:val="both"/>
        <w:rPr>
          <w:rFonts w:ascii="Times New Roman" w:hAnsi="Times New Roman"/>
          <w:lang w:val="en-GB"/>
        </w:rPr>
      </w:pPr>
      <w:r w:rsidRPr="005336A7">
        <w:rPr>
          <w:rFonts w:ascii="Times New Roman" w:hAnsi="Times New Roman"/>
          <w:sz w:val="20"/>
          <w:szCs w:val="20"/>
          <w:lang w:val="en-GB"/>
        </w:rPr>
        <w:t>Figure 5. Consistency maps of forecasts based on 5 models ((</w:t>
      </w:r>
      <w:proofErr w:type="spellStart"/>
      <w:r w:rsidRPr="005336A7">
        <w:rPr>
          <w:rFonts w:ascii="Times New Roman" w:hAnsi="Times New Roman"/>
          <w:sz w:val="20"/>
          <w:szCs w:val="20"/>
          <w:lang w:val="en-GB"/>
        </w:rPr>
        <w:t>Sl</w:t>
      </w:r>
      <w:proofErr w:type="spellEnd"/>
      <w:r w:rsidRPr="005336A7">
        <w:rPr>
          <w:rFonts w:ascii="Times New Roman" w:hAnsi="Times New Roman"/>
          <w:sz w:val="20"/>
          <w:szCs w:val="20"/>
          <w:lang w:val="en-GB"/>
        </w:rPr>
        <w:t xml:space="preserve">-AV, MGO, TCC, </w:t>
      </w:r>
      <w:proofErr w:type="spellStart"/>
      <w:r w:rsidRPr="005336A7">
        <w:rPr>
          <w:rFonts w:ascii="Times New Roman" w:hAnsi="Times New Roman"/>
          <w:sz w:val="20"/>
          <w:szCs w:val="20"/>
          <w:lang w:val="en-GB"/>
        </w:rPr>
        <w:t>CanSIP</w:t>
      </w:r>
      <w:proofErr w:type="spellEnd"/>
      <w:r w:rsidRPr="005336A7">
        <w:rPr>
          <w:rFonts w:ascii="Times New Roman" w:hAnsi="Times New Roman"/>
          <w:sz w:val="20"/>
          <w:szCs w:val="20"/>
          <w:lang w:val="en-GB"/>
        </w:rPr>
        <w:t>, CFS2). Positive (negative) values (in %) mean the number of models in percentage predicting positive (negative) surface air temperature anomalies.</w:t>
      </w:r>
      <w:r w:rsidR="00946626">
        <w:rPr>
          <w:rFonts w:ascii="Times New Roman" w:hAnsi="Times New Roman"/>
          <w:noProof/>
          <w:lang w:val="en-US" w:eastAsia="ru-RU"/>
        </w:rPr>
        <w:drawing>
          <wp:inline distT="0" distB="0" distL="0" distR="0" wp14:anchorId="7F7B8D85" wp14:editId="41F1153D">
            <wp:extent cx="6047105" cy="3458210"/>
            <wp:effectExtent l="0" t="0" r="0" b="0"/>
            <wp:docPr id="13" name="Изображение 21" descr="Macintosh HD:Users:valent:Desktop:СЕАКОФ18:prec_jja_2020_m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1" descr="Macintosh HD:Users:valent:Desktop:СЕАКОФ18:prec_jja_2020_mean.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7105" cy="3458210"/>
                    </a:xfrm>
                    <a:prstGeom prst="rect">
                      <a:avLst/>
                    </a:prstGeom>
                    <a:noFill/>
                    <a:ln>
                      <a:noFill/>
                    </a:ln>
                  </pic:spPr>
                </pic:pic>
              </a:graphicData>
            </a:graphic>
          </wp:inline>
        </w:drawing>
      </w:r>
    </w:p>
    <w:p w14:paraId="2FCE0A0D" w14:textId="77777777" w:rsidR="002B02EC" w:rsidRPr="005336A7" w:rsidRDefault="002B02EC">
      <w:pPr>
        <w:widowControl w:val="0"/>
        <w:autoSpaceDE w:val="0"/>
        <w:spacing w:after="240"/>
        <w:jc w:val="both"/>
        <w:rPr>
          <w:rFonts w:ascii="Times New Roman" w:hAnsi="Times New Roman"/>
          <w:sz w:val="20"/>
          <w:szCs w:val="20"/>
          <w:lang w:val="en-GB"/>
        </w:rPr>
      </w:pPr>
      <w:r w:rsidRPr="005336A7">
        <w:rPr>
          <w:rFonts w:ascii="Times New Roman" w:hAnsi="Times New Roman"/>
          <w:sz w:val="20"/>
          <w:szCs w:val="20"/>
          <w:lang w:val="en-GB"/>
        </w:rPr>
        <w:t xml:space="preserve">Figure 6. </w:t>
      </w:r>
      <w:proofErr w:type="gramStart"/>
      <w:r w:rsidRPr="005336A7">
        <w:rPr>
          <w:rFonts w:ascii="Times New Roman" w:hAnsi="Times New Roman"/>
          <w:sz w:val="20"/>
          <w:szCs w:val="20"/>
          <w:lang w:val="en-GB"/>
        </w:rPr>
        <w:t>Consistency maps of forecasts based on 5 models (</w:t>
      </w:r>
      <w:proofErr w:type="spellStart"/>
      <w:r w:rsidRPr="005336A7">
        <w:rPr>
          <w:rFonts w:ascii="Times New Roman" w:hAnsi="Times New Roman"/>
          <w:sz w:val="20"/>
          <w:szCs w:val="20"/>
          <w:lang w:val="en-GB"/>
        </w:rPr>
        <w:t>Sl</w:t>
      </w:r>
      <w:proofErr w:type="spellEnd"/>
      <w:r w:rsidRPr="005336A7">
        <w:rPr>
          <w:rFonts w:ascii="Times New Roman" w:hAnsi="Times New Roman"/>
          <w:sz w:val="20"/>
          <w:szCs w:val="20"/>
          <w:lang w:val="en-GB"/>
        </w:rPr>
        <w:t xml:space="preserve">-AV, MGO, TCC, </w:t>
      </w:r>
      <w:proofErr w:type="spellStart"/>
      <w:r w:rsidRPr="005336A7">
        <w:rPr>
          <w:rFonts w:ascii="Times New Roman" w:hAnsi="Times New Roman"/>
          <w:sz w:val="20"/>
          <w:szCs w:val="20"/>
          <w:lang w:val="en-GB"/>
        </w:rPr>
        <w:t>CanSIP</w:t>
      </w:r>
      <w:proofErr w:type="spellEnd"/>
      <w:r w:rsidRPr="005336A7">
        <w:rPr>
          <w:rFonts w:ascii="Times New Roman" w:hAnsi="Times New Roman"/>
          <w:sz w:val="20"/>
          <w:szCs w:val="20"/>
          <w:lang w:val="en-GB"/>
        </w:rPr>
        <w:t>, CFS2).</w:t>
      </w:r>
      <w:proofErr w:type="gramEnd"/>
      <w:r w:rsidRPr="005336A7">
        <w:rPr>
          <w:rFonts w:ascii="Times New Roman" w:hAnsi="Times New Roman"/>
          <w:sz w:val="20"/>
          <w:szCs w:val="20"/>
          <w:lang w:val="en-GB"/>
        </w:rPr>
        <w:t xml:space="preserve"> Positive (negative) values (in%) mean the number of models in percentage terms predicting positive (negative) precipitation anomalies.</w:t>
      </w:r>
    </w:p>
    <w:p w14:paraId="0E645251" w14:textId="77777777" w:rsidR="002B02EC" w:rsidRPr="005336A7" w:rsidRDefault="002B02EC" w:rsidP="007E7FBB">
      <w:pPr>
        <w:widowControl w:val="0"/>
        <w:autoSpaceDE w:val="0"/>
        <w:spacing w:after="240"/>
        <w:jc w:val="both"/>
        <w:rPr>
          <w:rFonts w:ascii="Times New Roman" w:hAnsi="Times New Roman"/>
          <w:color w:val="000000"/>
          <w:kern w:val="1"/>
          <w:lang w:val="en-GB"/>
        </w:rPr>
      </w:pPr>
      <w:r w:rsidRPr="005336A7">
        <w:rPr>
          <w:rFonts w:ascii="Times New Roman" w:hAnsi="Times New Roman"/>
          <w:color w:val="000000"/>
          <w:kern w:val="1"/>
          <w:lang w:val="en-GB"/>
        </w:rPr>
        <w:lastRenderedPageBreak/>
        <w:t>Precipitation amounts near or above the normal ones are expected over a larger territory of the European part and the Ural (Fig.6). In the south of the European part, precipitation is likely to be near and below normal. With a probability of 45-55%, abnormally intensive precipitation has been forecasted for the south of Siberia and the Far East, and for some regions of northeast Russia. In Central Asia and Kazakhstan, the forecast for precipitation is uncertain. Precipitation may possibly be increased in the north of Kazakhstan but meagre in the east.</w:t>
      </w:r>
    </w:p>
    <w:p w14:paraId="39B6ACBE" w14:textId="77777777" w:rsidR="002B02EC" w:rsidRPr="005336A7" w:rsidRDefault="002B02EC" w:rsidP="007E7FBB">
      <w:pPr>
        <w:widowControl w:val="0"/>
        <w:autoSpaceDE w:val="0"/>
        <w:spacing w:after="240"/>
        <w:jc w:val="both"/>
        <w:rPr>
          <w:rFonts w:ascii="Times New Roman" w:hAnsi="Times New Roman"/>
          <w:i/>
          <w:color w:val="000000"/>
          <w:kern w:val="1"/>
          <w:sz w:val="20"/>
          <w:szCs w:val="20"/>
          <w:lang w:val="en-GB"/>
        </w:rPr>
      </w:pPr>
      <w:r w:rsidRPr="005336A7">
        <w:rPr>
          <w:rFonts w:ascii="Times New Roman" w:hAnsi="Times New Roman"/>
          <w:i/>
          <w:color w:val="000000"/>
          <w:kern w:val="1"/>
          <w:sz w:val="20"/>
          <w:szCs w:val="20"/>
          <w:lang w:val="en-GB"/>
        </w:rPr>
        <w:t>The consensus forecast is consultative in its character; it can be applied to specific regions taking into account the specific predictability of atmospheric processes, regional climatic features</w:t>
      </w:r>
      <w:r w:rsidRPr="005336A7">
        <w:rPr>
          <w:rFonts w:ascii="Tahoma" w:hAnsi="Tahoma" w:cs="Tahoma"/>
          <w:i/>
          <w:color w:val="000000"/>
          <w:kern w:val="1"/>
          <w:sz w:val="20"/>
          <w:szCs w:val="20"/>
          <w:lang w:val="en-GB"/>
        </w:rPr>
        <w:t>̆</w:t>
      </w:r>
      <w:r w:rsidRPr="005336A7">
        <w:rPr>
          <w:rFonts w:ascii="Times New Roman" w:hAnsi="Times New Roman"/>
          <w:i/>
          <w:color w:val="000000"/>
          <w:kern w:val="1"/>
          <w:sz w:val="20"/>
          <w:szCs w:val="20"/>
          <w:lang w:val="en-GB"/>
        </w:rPr>
        <w:t xml:space="preserve"> and the quality of hydrodynamic models used.</w:t>
      </w:r>
    </w:p>
    <w:p w14:paraId="300DBB28" w14:textId="77777777" w:rsidR="002B02EC" w:rsidRPr="005336A7" w:rsidRDefault="002B02EC" w:rsidP="007E7FBB">
      <w:pPr>
        <w:widowControl w:val="0"/>
        <w:autoSpaceDE w:val="0"/>
        <w:spacing w:after="240"/>
        <w:jc w:val="both"/>
        <w:rPr>
          <w:rFonts w:ascii="Arial" w:hAnsi="Arial" w:cs="Arial"/>
          <w:i/>
          <w:iCs/>
          <w:sz w:val="20"/>
          <w:szCs w:val="20"/>
          <w:lang w:val="en-GB"/>
        </w:rPr>
      </w:pPr>
      <w:r w:rsidRPr="005336A7">
        <w:rPr>
          <w:rFonts w:ascii="Times New Roman" w:hAnsi="Times New Roman"/>
          <w:i/>
          <w:color w:val="000000"/>
          <w:kern w:val="1"/>
          <w:sz w:val="20"/>
          <w:szCs w:val="20"/>
          <w:lang w:val="en-GB"/>
        </w:rPr>
        <w:t>When using this information, a reference to NEACC is obligatory (http://neacc.meteoinfo.ru)</w:t>
      </w:r>
    </w:p>
    <w:p w14:paraId="19D1C7F9" w14:textId="77777777" w:rsidR="002B02EC" w:rsidRPr="005336A7" w:rsidRDefault="002B02EC">
      <w:pPr>
        <w:rPr>
          <w:lang w:val="en-GB"/>
        </w:rPr>
      </w:pPr>
    </w:p>
    <w:sectPr w:rsidR="002B02EC" w:rsidRPr="005336A7" w:rsidSect="007E7ACE">
      <w:pgSz w:w="12240" w:h="15840"/>
      <w:pgMar w:top="1134" w:right="850" w:bottom="1134" w:left="1701" w:header="720" w:footer="720" w:gutter="0"/>
      <w:cols w:space="72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Lucida Grande CY">
    <w:panose1 w:val="020B0600040502020204"/>
    <w:charset w:val="59"/>
    <w:family w:val="auto"/>
    <w:pitch w:val="variable"/>
    <w:sig w:usb0="E1000AEF" w:usb1="5000A1FF" w:usb2="00000000" w:usb3="00000000" w:csb0="000001BF" w:csb1="00000000"/>
  </w:font>
  <w:font w:name="Mangal">
    <w:panose1 w:val="00000000000000000000"/>
    <w:charset w:val="01"/>
    <w:family w:val="roman"/>
    <w:notTrueType/>
    <w:pitch w:val="variable"/>
    <w:sig w:usb0="00002000" w:usb1="00000000" w:usb2="00000000" w:usb3="00000000" w:csb0="0000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orbel">
    <w:panose1 w:val="020B0503020204020204"/>
    <w:charset w:val="00"/>
    <w:family w:val="auto"/>
    <w:pitch w:val="variable"/>
    <w:sig w:usb0="A00002EF" w:usb1="4000A44B" w:usb2="00000000" w:usb3="00000000" w:csb0="0000019F" w:csb1="00000000"/>
  </w:font>
  <w:font w:name="Tahoma">
    <w:panose1 w:val="020B0604030504040204"/>
    <w:charset w:val="00"/>
    <w:family w:val="auto"/>
    <w:pitch w:val="variable"/>
    <w:sig w:usb0="01002A87" w:usb1="80000000" w:usb2="00000008" w:usb3="00000000" w:csb0="0001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4DC4E92"/>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4F4B82"/>
    <w:multiLevelType w:val="hybridMultilevel"/>
    <w:tmpl w:val="16005B8E"/>
    <w:lvl w:ilvl="0" w:tplc="C534D084">
      <w:start w:val="1"/>
      <w:numFmt w:val="bullet"/>
      <w:lvlText w:val="•"/>
      <w:lvlJc w:val="left"/>
      <w:pPr>
        <w:tabs>
          <w:tab w:val="num" w:pos="720"/>
        </w:tabs>
        <w:ind w:left="720" w:hanging="360"/>
      </w:pPr>
      <w:rPr>
        <w:rFonts w:ascii="Arial" w:hAnsi="Arial" w:hint="default"/>
      </w:rPr>
    </w:lvl>
    <w:lvl w:ilvl="1" w:tplc="12DC0392" w:tentative="1">
      <w:start w:val="1"/>
      <w:numFmt w:val="bullet"/>
      <w:lvlText w:val="•"/>
      <w:lvlJc w:val="left"/>
      <w:pPr>
        <w:tabs>
          <w:tab w:val="num" w:pos="1440"/>
        </w:tabs>
        <w:ind w:left="1440" w:hanging="360"/>
      </w:pPr>
      <w:rPr>
        <w:rFonts w:ascii="Arial" w:hAnsi="Arial" w:hint="default"/>
      </w:rPr>
    </w:lvl>
    <w:lvl w:ilvl="2" w:tplc="6EE2595A" w:tentative="1">
      <w:start w:val="1"/>
      <w:numFmt w:val="bullet"/>
      <w:lvlText w:val="•"/>
      <w:lvlJc w:val="left"/>
      <w:pPr>
        <w:tabs>
          <w:tab w:val="num" w:pos="2160"/>
        </w:tabs>
        <w:ind w:left="2160" w:hanging="360"/>
      </w:pPr>
      <w:rPr>
        <w:rFonts w:ascii="Arial" w:hAnsi="Arial" w:hint="default"/>
      </w:rPr>
    </w:lvl>
    <w:lvl w:ilvl="3" w:tplc="25442314" w:tentative="1">
      <w:start w:val="1"/>
      <w:numFmt w:val="bullet"/>
      <w:lvlText w:val="•"/>
      <w:lvlJc w:val="left"/>
      <w:pPr>
        <w:tabs>
          <w:tab w:val="num" w:pos="2880"/>
        </w:tabs>
        <w:ind w:left="2880" w:hanging="360"/>
      </w:pPr>
      <w:rPr>
        <w:rFonts w:ascii="Arial" w:hAnsi="Arial" w:hint="default"/>
      </w:rPr>
    </w:lvl>
    <w:lvl w:ilvl="4" w:tplc="233C010C" w:tentative="1">
      <w:start w:val="1"/>
      <w:numFmt w:val="bullet"/>
      <w:lvlText w:val="•"/>
      <w:lvlJc w:val="left"/>
      <w:pPr>
        <w:tabs>
          <w:tab w:val="num" w:pos="3600"/>
        </w:tabs>
        <w:ind w:left="3600" w:hanging="360"/>
      </w:pPr>
      <w:rPr>
        <w:rFonts w:ascii="Arial" w:hAnsi="Arial" w:hint="default"/>
      </w:rPr>
    </w:lvl>
    <w:lvl w:ilvl="5" w:tplc="81F06B5E" w:tentative="1">
      <w:start w:val="1"/>
      <w:numFmt w:val="bullet"/>
      <w:lvlText w:val="•"/>
      <w:lvlJc w:val="left"/>
      <w:pPr>
        <w:tabs>
          <w:tab w:val="num" w:pos="4320"/>
        </w:tabs>
        <w:ind w:left="4320" w:hanging="360"/>
      </w:pPr>
      <w:rPr>
        <w:rFonts w:ascii="Arial" w:hAnsi="Arial" w:hint="default"/>
      </w:rPr>
    </w:lvl>
    <w:lvl w:ilvl="6" w:tplc="93B406E2" w:tentative="1">
      <w:start w:val="1"/>
      <w:numFmt w:val="bullet"/>
      <w:lvlText w:val="•"/>
      <w:lvlJc w:val="left"/>
      <w:pPr>
        <w:tabs>
          <w:tab w:val="num" w:pos="5040"/>
        </w:tabs>
        <w:ind w:left="5040" w:hanging="360"/>
      </w:pPr>
      <w:rPr>
        <w:rFonts w:ascii="Arial" w:hAnsi="Arial" w:hint="default"/>
      </w:rPr>
    </w:lvl>
    <w:lvl w:ilvl="7" w:tplc="87684152" w:tentative="1">
      <w:start w:val="1"/>
      <w:numFmt w:val="bullet"/>
      <w:lvlText w:val="•"/>
      <w:lvlJc w:val="left"/>
      <w:pPr>
        <w:tabs>
          <w:tab w:val="num" w:pos="5760"/>
        </w:tabs>
        <w:ind w:left="5760" w:hanging="360"/>
      </w:pPr>
      <w:rPr>
        <w:rFonts w:ascii="Arial" w:hAnsi="Arial" w:hint="default"/>
      </w:rPr>
    </w:lvl>
    <w:lvl w:ilvl="8" w:tplc="417A6E3E" w:tentative="1">
      <w:start w:val="1"/>
      <w:numFmt w:val="bullet"/>
      <w:lvlText w:val="•"/>
      <w:lvlJc w:val="left"/>
      <w:pPr>
        <w:tabs>
          <w:tab w:val="num" w:pos="6480"/>
        </w:tabs>
        <w:ind w:left="6480" w:hanging="360"/>
      </w:pPr>
      <w:rPr>
        <w:rFonts w:ascii="Arial" w:hAnsi="Arial" w:hint="default"/>
      </w:rPr>
    </w:lvl>
  </w:abstractNum>
  <w:abstractNum w:abstractNumId="2">
    <w:nsid w:val="0F9D203C"/>
    <w:multiLevelType w:val="hybridMultilevel"/>
    <w:tmpl w:val="8C7618D0"/>
    <w:lvl w:ilvl="0" w:tplc="49C098FE">
      <w:start w:val="1"/>
      <w:numFmt w:val="bullet"/>
      <w:lvlText w:val="•"/>
      <w:lvlJc w:val="left"/>
      <w:pPr>
        <w:tabs>
          <w:tab w:val="num" w:pos="720"/>
        </w:tabs>
        <w:ind w:left="720" w:hanging="360"/>
      </w:pPr>
      <w:rPr>
        <w:rFonts w:ascii="Arial" w:hAnsi="Arial" w:hint="default"/>
      </w:rPr>
    </w:lvl>
    <w:lvl w:ilvl="1" w:tplc="F6B4E9F6" w:tentative="1">
      <w:start w:val="1"/>
      <w:numFmt w:val="bullet"/>
      <w:lvlText w:val="•"/>
      <w:lvlJc w:val="left"/>
      <w:pPr>
        <w:tabs>
          <w:tab w:val="num" w:pos="1440"/>
        </w:tabs>
        <w:ind w:left="1440" w:hanging="360"/>
      </w:pPr>
      <w:rPr>
        <w:rFonts w:ascii="Arial" w:hAnsi="Arial" w:hint="default"/>
      </w:rPr>
    </w:lvl>
    <w:lvl w:ilvl="2" w:tplc="2BC20EFE" w:tentative="1">
      <w:start w:val="1"/>
      <w:numFmt w:val="bullet"/>
      <w:lvlText w:val="•"/>
      <w:lvlJc w:val="left"/>
      <w:pPr>
        <w:tabs>
          <w:tab w:val="num" w:pos="2160"/>
        </w:tabs>
        <w:ind w:left="2160" w:hanging="360"/>
      </w:pPr>
      <w:rPr>
        <w:rFonts w:ascii="Arial" w:hAnsi="Arial" w:hint="default"/>
      </w:rPr>
    </w:lvl>
    <w:lvl w:ilvl="3" w:tplc="931E5462" w:tentative="1">
      <w:start w:val="1"/>
      <w:numFmt w:val="bullet"/>
      <w:lvlText w:val="•"/>
      <w:lvlJc w:val="left"/>
      <w:pPr>
        <w:tabs>
          <w:tab w:val="num" w:pos="2880"/>
        </w:tabs>
        <w:ind w:left="2880" w:hanging="360"/>
      </w:pPr>
      <w:rPr>
        <w:rFonts w:ascii="Arial" w:hAnsi="Arial" w:hint="default"/>
      </w:rPr>
    </w:lvl>
    <w:lvl w:ilvl="4" w:tplc="B04CEADE" w:tentative="1">
      <w:start w:val="1"/>
      <w:numFmt w:val="bullet"/>
      <w:lvlText w:val="•"/>
      <w:lvlJc w:val="left"/>
      <w:pPr>
        <w:tabs>
          <w:tab w:val="num" w:pos="3600"/>
        </w:tabs>
        <w:ind w:left="3600" w:hanging="360"/>
      </w:pPr>
      <w:rPr>
        <w:rFonts w:ascii="Arial" w:hAnsi="Arial" w:hint="default"/>
      </w:rPr>
    </w:lvl>
    <w:lvl w:ilvl="5" w:tplc="FFD08610" w:tentative="1">
      <w:start w:val="1"/>
      <w:numFmt w:val="bullet"/>
      <w:lvlText w:val="•"/>
      <w:lvlJc w:val="left"/>
      <w:pPr>
        <w:tabs>
          <w:tab w:val="num" w:pos="4320"/>
        </w:tabs>
        <w:ind w:left="4320" w:hanging="360"/>
      </w:pPr>
      <w:rPr>
        <w:rFonts w:ascii="Arial" w:hAnsi="Arial" w:hint="default"/>
      </w:rPr>
    </w:lvl>
    <w:lvl w:ilvl="6" w:tplc="72941D7E" w:tentative="1">
      <w:start w:val="1"/>
      <w:numFmt w:val="bullet"/>
      <w:lvlText w:val="•"/>
      <w:lvlJc w:val="left"/>
      <w:pPr>
        <w:tabs>
          <w:tab w:val="num" w:pos="5040"/>
        </w:tabs>
        <w:ind w:left="5040" w:hanging="360"/>
      </w:pPr>
      <w:rPr>
        <w:rFonts w:ascii="Arial" w:hAnsi="Arial" w:hint="default"/>
      </w:rPr>
    </w:lvl>
    <w:lvl w:ilvl="7" w:tplc="C874B38E" w:tentative="1">
      <w:start w:val="1"/>
      <w:numFmt w:val="bullet"/>
      <w:lvlText w:val="•"/>
      <w:lvlJc w:val="left"/>
      <w:pPr>
        <w:tabs>
          <w:tab w:val="num" w:pos="5760"/>
        </w:tabs>
        <w:ind w:left="5760" w:hanging="360"/>
      </w:pPr>
      <w:rPr>
        <w:rFonts w:ascii="Arial" w:hAnsi="Arial" w:hint="default"/>
      </w:rPr>
    </w:lvl>
    <w:lvl w:ilvl="8" w:tplc="EE48E34E" w:tentative="1">
      <w:start w:val="1"/>
      <w:numFmt w:val="bullet"/>
      <w:lvlText w:val="•"/>
      <w:lvlJc w:val="left"/>
      <w:pPr>
        <w:tabs>
          <w:tab w:val="num" w:pos="6480"/>
        </w:tabs>
        <w:ind w:left="6480" w:hanging="360"/>
      </w:pPr>
      <w:rPr>
        <w:rFonts w:ascii="Arial" w:hAnsi="Arial" w:hint="default"/>
      </w:rPr>
    </w:lvl>
  </w:abstractNum>
  <w:abstractNum w:abstractNumId="3">
    <w:nsid w:val="11773E7C"/>
    <w:multiLevelType w:val="hybridMultilevel"/>
    <w:tmpl w:val="C4FA2662"/>
    <w:lvl w:ilvl="0" w:tplc="EA822AAA">
      <w:start w:val="1"/>
      <w:numFmt w:val="bullet"/>
      <w:lvlText w:val="•"/>
      <w:lvlJc w:val="left"/>
      <w:pPr>
        <w:tabs>
          <w:tab w:val="num" w:pos="720"/>
        </w:tabs>
        <w:ind w:left="720" w:hanging="360"/>
      </w:pPr>
      <w:rPr>
        <w:rFonts w:ascii="Times New Roman" w:hAnsi="Times New Roman" w:hint="default"/>
      </w:rPr>
    </w:lvl>
    <w:lvl w:ilvl="1" w:tplc="2744BE8C" w:tentative="1">
      <w:start w:val="1"/>
      <w:numFmt w:val="bullet"/>
      <w:lvlText w:val="•"/>
      <w:lvlJc w:val="left"/>
      <w:pPr>
        <w:tabs>
          <w:tab w:val="num" w:pos="1440"/>
        </w:tabs>
        <w:ind w:left="1440" w:hanging="360"/>
      </w:pPr>
      <w:rPr>
        <w:rFonts w:ascii="Times New Roman" w:hAnsi="Times New Roman" w:hint="default"/>
      </w:rPr>
    </w:lvl>
    <w:lvl w:ilvl="2" w:tplc="8004A194" w:tentative="1">
      <w:start w:val="1"/>
      <w:numFmt w:val="bullet"/>
      <w:lvlText w:val="•"/>
      <w:lvlJc w:val="left"/>
      <w:pPr>
        <w:tabs>
          <w:tab w:val="num" w:pos="2160"/>
        </w:tabs>
        <w:ind w:left="2160" w:hanging="360"/>
      </w:pPr>
      <w:rPr>
        <w:rFonts w:ascii="Times New Roman" w:hAnsi="Times New Roman" w:hint="default"/>
      </w:rPr>
    </w:lvl>
    <w:lvl w:ilvl="3" w:tplc="2C7845A8" w:tentative="1">
      <w:start w:val="1"/>
      <w:numFmt w:val="bullet"/>
      <w:lvlText w:val="•"/>
      <w:lvlJc w:val="left"/>
      <w:pPr>
        <w:tabs>
          <w:tab w:val="num" w:pos="2880"/>
        </w:tabs>
        <w:ind w:left="2880" w:hanging="360"/>
      </w:pPr>
      <w:rPr>
        <w:rFonts w:ascii="Times New Roman" w:hAnsi="Times New Roman" w:hint="default"/>
      </w:rPr>
    </w:lvl>
    <w:lvl w:ilvl="4" w:tplc="904C2174" w:tentative="1">
      <w:start w:val="1"/>
      <w:numFmt w:val="bullet"/>
      <w:lvlText w:val="•"/>
      <w:lvlJc w:val="left"/>
      <w:pPr>
        <w:tabs>
          <w:tab w:val="num" w:pos="3600"/>
        </w:tabs>
        <w:ind w:left="3600" w:hanging="360"/>
      </w:pPr>
      <w:rPr>
        <w:rFonts w:ascii="Times New Roman" w:hAnsi="Times New Roman" w:hint="default"/>
      </w:rPr>
    </w:lvl>
    <w:lvl w:ilvl="5" w:tplc="C6C64E60" w:tentative="1">
      <w:start w:val="1"/>
      <w:numFmt w:val="bullet"/>
      <w:lvlText w:val="•"/>
      <w:lvlJc w:val="left"/>
      <w:pPr>
        <w:tabs>
          <w:tab w:val="num" w:pos="4320"/>
        </w:tabs>
        <w:ind w:left="4320" w:hanging="360"/>
      </w:pPr>
      <w:rPr>
        <w:rFonts w:ascii="Times New Roman" w:hAnsi="Times New Roman" w:hint="default"/>
      </w:rPr>
    </w:lvl>
    <w:lvl w:ilvl="6" w:tplc="4BD4685C" w:tentative="1">
      <w:start w:val="1"/>
      <w:numFmt w:val="bullet"/>
      <w:lvlText w:val="•"/>
      <w:lvlJc w:val="left"/>
      <w:pPr>
        <w:tabs>
          <w:tab w:val="num" w:pos="5040"/>
        </w:tabs>
        <w:ind w:left="5040" w:hanging="360"/>
      </w:pPr>
      <w:rPr>
        <w:rFonts w:ascii="Times New Roman" w:hAnsi="Times New Roman" w:hint="default"/>
      </w:rPr>
    </w:lvl>
    <w:lvl w:ilvl="7" w:tplc="1D50C708" w:tentative="1">
      <w:start w:val="1"/>
      <w:numFmt w:val="bullet"/>
      <w:lvlText w:val="•"/>
      <w:lvlJc w:val="left"/>
      <w:pPr>
        <w:tabs>
          <w:tab w:val="num" w:pos="5760"/>
        </w:tabs>
        <w:ind w:left="5760" w:hanging="360"/>
      </w:pPr>
      <w:rPr>
        <w:rFonts w:ascii="Times New Roman" w:hAnsi="Times New Roman" w:hint="default"/>
      </w:rPr>
    </w:lvl>
    <w:lvl w:ilvl="8" w:tplc="FDF086B0" w:tentative="1">
      <w:start w:val="1"/>
      <w:numFmt w:val="bullet"/>
      <w:lvlText w:val="•"/>
      <w:lvlJc w:val="left"/>
      <w:pPr>
        <w:tabs>
          <w:tab w:val="num" w:pos="6480"/>
        </w:tabs>
        <w:ind w:left="6480" w:hanging="360"/>
      </w:pPr>
      <w:rPr>
        <w:rFonts w:ascii="Times New Roman" w:hAnsi="Times New Roman" w:hint="default"/>
      </w:rPr>
    </w:lvl>
  </w:abstractNum>
  <w:abstractNum w:abstractNumId="4">
    <w:nsid w:val="2D9C7AC6"/>
    <w:multiLevelType w:val="hybridMultilevel"/>
    <w:tmpl w:val="9F28301A"/>
    <w:lvl w:ilvl="0" w:tplc="9D507352">
      <w:start w:val="1"/>
      <w:numFmt w:val="bullet"/>
      <w:lvlText w:val="•"/>
      <w:lvlJc w:val="left"/>
      <w:pPr>
        <w:tabs>
          <w:tab w:val="num" w:pos="720"/>
        </w:tabs>
        <w:ind w:left="720" w:hanging="360"/>
      </w:pPr>
      <w:rPr>
        <w:rFonts w:ascii="Arial" w:hAnsi="Arial" w:hint="default"/>
      </w:rPr>
    </w:lvl>
    <w:lvl w:ilvl="1" w:tplc="9A06585E" w:tentative="1">
      <w:start w:val="1"/>
      <w:numFmt w:val="bullet"/>
      <w:lvlText w:val="•"/>
      <w:lvlJc w:val="left"/>
      <w:pPr>
        <w:tabs>
          <w:tab w:val="num" w:pos="1440"/>
        </w:tabs>
        <w:ind w:left="1440" w:hanging="360"/>
      </w:pPr>
      <w:rPr>
        <w:rFonts w:ascii="Arial" w:hAnsi="Arial" w:hint="default"/>
      </w:rPr>
    </w:lvl>
    <w:lvl w:ilvl="2" w:tplc="915A9A76" w:tentative="1">
      <w:start w:val="1"/>
      <w:numFmt w:val="bullet"/>
      <w:lvlText w:val="•"/>
      <w:lvlJc w:val="left"/>
      <w:pPr>
        <w:tabs>
          <w:tab w:val="num" w:pos="2160"/>
        </w:tabs>
        <w:ind w:left="2160" w:hanging="360"/>
      </w:pPr>
      <w:rPr>
        <w:rFonts w:ascii="Arial" w:hAnsi="Arial" w:hint="default"/>
      </w:rPr>
    </w:lvl>
    <w:lvl w:ilvl="3" w:tplc="4F70E3F4" w:tentative="1">
      <w:start w:val="1"/>
      <w:numFmt w:val="bullet"/>
      <w:lvlText w:val="•"/>
      <w:lvlJc w:val="left"/>
      <w:pPr>
        <w:tabs>
          <w:tab w:val="num" w:pos="2880"/>
        </w:tabs>
        <w:ind w:left="2880" w:hanging="360"/>
      </w:pPr>
      <w:rPr>
        <w:rFonts w:ascii="Arial" w:hAnsi="Arial" w:hint="default"/>
      </w:rPr>
    </w:lvl>
    <w:lvl w:ilvl="4" w:tplc="B1B29A48" w:tentative="1">
      <w:start w:val="1"/>
      <w:numFmt w:val="bullet"/>
      <w:lvlText w:val="•"/>
      <w:lvlJc w:val="left"/>
      <w:pPr>
        <w:tabs>
          <w:tab w:val="num" w:pos="3600"/>
        </w:tabs>
        <w:ind w:left="3600" w:hanging="360"/>
      </w:pPr>
      <w:rPr>
        <w:rFonts w:ascii="Arial" w:hAnsi="Arial" w:hint="default"/>
      </w:rPr>
    </w:lvl>
    <w:lvl w:ilvl="5" w:tplc="21CE5114" w:tentative="1">
      <w:start w:val="1"/>
      <w:numFmt w:val="bullet"/>
      <w:lvlText w:val="•"/>
      <w:lvlJc w:val="left"/>
      <w:pPr>
        <w:tabs>
          <w:tab w:val="num" w:pos="4320"/>
        </w:tabs>
        <w:ind w:left="4320" w:hanging="360"/>
      </w:pPr>
      <w:rPr>
        <w:rFonts w:ascii="Arial" w:hAnsi="Arial" w:hint="default"/>
      </w:rPr>
    </w:lvl>
    <w:lvl w:ilvl="6" w:tplc="E82A5356" w:tentative="1">
      <w:start w:val="1"/>
      <w:numFmt w:val="bullet"/>
      <w:lvlText w:val="•"/>
      <w:lvlJc w:val="left"/>
      <w:pPr>
        <w:tabs>
          <w:tab w:val="num" w:pos="5040"/>
        </w:tabs>
        <w:ind w:left="5040" w:hanging="360"/>
      </w:pPr>
      <w:rPr>
        <w:rFonts w:ascii="Arial" w:hAnsi="Arial" w:hint="default"/>
      </w:rPr>
    </w:lvl>
    <w:lvl w:ilvl="7" w:tplc="5A90DA00" w:tentative="1">
      <w:start w:val="1"/>
      <w:numFmt w:val="bullet"/>
      <w:lvlText w:val="•"/>
      <w:lvlJc w:val="left"/>
      <w:pPr>
        <w:tabs>
          <w:tab w:val="num" w:pos="5760"/>
        </w:tabs>
        <w:ind w:left="5760" w:hanging="360"/>
      </w:pPr>
      <w:rPr>
        <w:rFonts w:ascii="Arial" w:hAnsi="Arial" w:hint="default"/>
      </w:rPr>
    </w:lvl>
    <w:lvl w:ilvl="8" w:tplc="E054930E" w:tentative="1">
      <w:start w:val="1"/>
      <w:numFmt w:val="bullet"/>
      <w:lvlText w:val="•"/>
      <w:lvlJc w:val="left"/>
      <w:pPr>
        <w:tabs>
          <w:tab w:val="num" w:pos="6480"/>
        </w:tabs>
        <w:ind w:left="6480" w:hanging="360"/>
      </w:pPr>
      <w:rPr>
        <w:rFonts w:ascii="Arial" w:hAnsi="Arial" w:hint="default"/>
      </w:rPr>
    </w:lvl>
  </w:abstractNum>
  <w:abstractNum w:abstractNumId="5">
    <w:nsid w:val="3C9969D6"/>
    <w:multiLevelType w:val="hybridMultilevel"/>
    <w:tmpl w:val="E7149E54"/>
    <w:lvl w:ilvl="0" w:tplc="6E82F75C">
      <w:start w:val="1"/>
      <w:numFmt w:val="bullet"/>
      <w:lvlText w:val="•"/>
      <w:lvlJc w:val="left"/>
      <w:pPr>
        <w:tabs>
          <w:tab w:val="num" w:pos="720"/>
        </w:tabs>
        <w:ind w:left="720" w:hanging="360"/>
      </w:pPr>
      <w:rPr>
        <w:rFonts w:ascii="Arial" w:hAnsi="Arial" w:hint="default"/>
      </w:rPr>
    </w:lvl>
    <w:lvl w:ilvl="1" w:tplc="4718BE9C" w:tentative="1">
      <w:start w:val="1"/>
      <w:numFmt w:val="bullet"/>
      <w:lvlText w:val="•"/>
      <w:lvlJc w:val="left"/>
      <w:pPr>
        <w:tabs>
          <w:tab w:val="num" w:pos="1440"/>
        </w:tabs>
        <w:ind w:left="1440" w:hanging="360"/>
      </w:pPr>
      <w:rPr>
        <w:rFonts w:ascii="Arial" w:hAnsi="Arial" w:hint="default"/>
      </w:rPr>
    </w:lvl>
    <w:lvl w:ilvl="2" w:tplc="F8F6A472" w:tentative="1">
      <w:start w:val="1"/>
      <w:numFmt w:val="bullet"/>
      <w:lvlText w:val="•"/>
      <w:lvlJc w:val="left"/>
      <w:pPr>
        <w:tabs>
          <w:tab w:val="num" w:pos="2160"/>
        </w:tabs>
        <w:ind w:left="2160" w:hanging="360"/>
      </w:pPr>
      <w:rPr>
        <w:rFonts w:ascii="Arial" w:hAnsi="Arial" w:hint="default"/>
      </w:rPr>
    </w:lvl>
    <w:lvl w:ilvl="3" w:tplc="544073D8" w:tentative="1">
      <w:start w:val="1"/>
      <w:numFmt w:val="bullet"/>
      <w:lvlText w:val="•"/>
      <w:lvlJc w:val="left"/>
      <w:pPr>
        <w:tabs>
          <w:tab w:val="num" w:pos="2880"/>
        </w:tabs>
        <w:ind w:left="2880" w:hanging="360"/>
      </w:pPr>
      <w:rPr>
        <w:rFonts w:ascii="Arial" w:hAnsi="Arial" w:hint="default"/>
      </w:rPr>
    </w:lvl>
    <w:lvl w:ilvl="4" w:tplc="A96C27B6" w:tentative="1">
      <w:start w:val="1"/>
      <w:numFmt w:val="bullet"/>
      <w:lvlText w:val="•"/>
      <w:lvlJc w:val="left"/>
      <w:pPr>
        <w:tabs>
          <w:tab w:val="num" w:pos="3600"/>
        </w:tabs>
        <w:ind w:left="3600" w:hanging="360"/>
      </w:pPr>
      <w:rPr>
        <w:rFonts w:ascii="Arial" w:hAnsi="Arial" w:hint="default"/>
      </w:rPr>
    </w:lvl>
    <w:lvl w:ilvl="5" w:tplc="DE5E70EC" w:tentative="1">
      <w:start w:val="1"/>
      <w:numFmt w:val="bullet"/>
      <w:lvlText w:val="•"/>
      <w:lvlJc w:val="left"/>
      <w:pPr>
        <w:tabs>
          <w:tab w:val="num" w:pos="4320"/>
        </w:tabs>
        <w:ind w:left="4320" w:hanging="360"/>
      </w:pPr>
      <w:rPr>
        <w:rFonts w:ascii="Arial" w:hAnsi="Arial" w:hint="default"/>
      </w:rPr>
    </w:lvl>
    <w:lvl w:ilvl="6" w:tplc="674E837C" w:tentative="1">
      <w:start w:val="1"/>
      <w:numFmt w:val="bullet"/>
      <w:lvlText w:val="•"/>
      <w:lvlJc w:val="left"/>
      <w:pPr>
        <w:tabs>
          <w:tab w:val="num" w:pos="5040"/>
        </w:tabs>
        <w:ind w:left="5040" w:hanging="360"/>
      </w:pPr>
      <w:rPr>
        <w:rFonts w:ascii="Arial" w:hAnsi="Arial" w:hint="default"/>
      </w:rPr>
    </w:lvl>
    <w:lvl w:ilvl="7" w:tplc="D2C8C3CA" w:tentative="1">
      <w:start w:val="1"/>
      <w:numFmt w:val="bullet"/>
      <w:lvlText w:val="•"/>
      <w:lvlJc w:val="left"/>
      <w:pPr>
        <w:tabs>
          <w:tab w:val="num" w:pos="5760"/>
        </w:tabs>
        <w:ind w:left="5760" w:hanging="360"/>
      </w:pPr>
      <w:rPr>
        <w:rFonts w:ascii="Arial" w:hAnsi="Arial" w:hint="default"/>
      </w:rPr>
    </w:lvl>
    <w:lvl w:ilvl="8" w:tplc="9F3C3472" w:tentative="1">
      <w:start w:val="1"/>
      <w:numFmt w:val="bullet"/>
      <w:lvlText w:val="•"/>
      <w:lvlJc w:val="left"/>
      <w:pPr>
        <w:tabs>
          <w:tab w:val="num" w:pos="6480"/>
        </w:tabs>
        <w:ind w:left="6480" w:hanging="360"/>
      </w:pPr>
      <w:rPr>
        <w:rFonts w:ascii="Arial" w:hAnsi="Arial" w:hint="default"/>
      </w:rPr>
    </w:lvl>
  </w:abstractNum>
  <w:abstractNum w:abstractNumId="6">
    <w:nsid w:val="40B643DA"/>
    <w:multiLevelType w:val="hybridMultilevel"/>
    <w:tmpl w:val="9A94C62A"/>
    <w:lvl w:ilvl="0" w:tplc="D4A2076E">
      <w:start w:val="1"/>
      <w:numFmt w:val="bullet"/>
      <w:lvlText w:val="•"/>
      <w:lvlJc w:val="left"/>
      <w:pPr>
        <w:tabs>
          <w:tab w:val="num" w:pos="720"/>
        </w:tabs>
        <w:ind w:left="720" w:hanging="360"/>
      </w:pPr>
      <w:rPr>
        <w:rFonts w:ascii="Arial" w:hAnsi="Arial" w:hint="default"/>
      </w:rPr>
    </w:lvl>
    <w:lvl w:ilvl="1" w:tplc="64382BCA" w:tentative="1">
      <w:start w:val="1"/>
      <w:numFmt w:val="bullet"/>
      <w:lvlText w:val="•"/>
      <w:lvlJc w:val="left"/>
      <w:pPr>
        <w:tabs>
          <w:tab w:val="num" w:pos="1440"/>
        </w:tabs>
        <w:ind w:left="1440" w:hanging="360"/>
      </w:pPr>
      <w:rPr>
        <w:rFonts w:ascii="Arial" w:hAnsi="Arial" w:hint="default"/>
      </w:rPr>
    </w:lvl>
    <w:lvl w:ilvl="2" w:tplc="3110B2EA" w:tentative="1">
      <w:start w:val="1"/>
      <w:numFmt w:val="bullet"/>
      <w:lvlText w:val="•"/>
      <w:lvlJc w:val="left"/>
      <w:pPr>
        <w:tabs>
          <w:tab w:val="num" w:pos="2160"/>
        </w:tabs>
        <w:ind w:left="2160" w:hanging="360"/>
      </w:pPr>
      <w:rPr>
        <w:rFonts w:ascii="Arial" w:hAnsi="Arial" w:hint="default"/>
      </w:rPr>
    </w:lvl>
    <w:lvl w:ilvl="3" w:tplc="5680E238" w:tentative="1">
      <w:start w:val="1"/>
      <w:numFmt w:val="bullet"/>
      <w:lvlText w:val="•"/>
      <w:lvlJc w:val="left"/>
      <w:pPr>
        <w:tabs>
          <w:tab w:val="num" w:pos="2880"/>
        </w:tabs>
        <w:ind w:left="2880" w:hanging="360"/>
      </w:pPr>
      <w:rPr>
        <w:rFonts w:ascii="Arial" w:hAnsi="Arial" w:hint="default"/>
      </w:rPr>
    </w:lvl>
    <w:lvl w:ilvl="4" w:tplc="24CCEA0E" w:tentative="1">
      <w:start w:val="1"/>
      <w:numFmt w:val="bullet"/>
      <w:lvlText w:val="•"/>
      <w:lvlJc w:val="left"/>
      <w:pPr>
        <w:tabs>
          <w:tab w:val="num" w:pos="3600"/>
        </w:tabs>
        <w:ind w:left="3600" w:hanging="360"/>
      </w:pPr>
      <w:rPr>
        <w:rFonts w:ascii="Arial" w:hAnsi="Arial" w:hint="default"/>
      </w:rPr>
    </w:lvl>
    <w:lvl w:ilvl="5" w:tplc="D86EA552" w:tentative="1">
      <w:start w:val="1"/>
      <w:numFmt w:val="bullet"/>
      <w:lvlText w:val="•"/>
      <w:lvlJc w:val="left"/>
      <w:pPr>
        <w:tabs>
          <w:tab w:val="num" w:pos="4320"/>
        </w:tabs>
        <w:ind w:left="4320" w:hanging="360"/>
      </w:pPr>
      <w:rPr>
        <w:rFonts w:ascii="Arial" w:hAnsi="Arial" w:hint="default"/>
      </w:rPr>
    </w:lvl>
    <w:lvl w:ilvl="6" w:tplc="D19AA32A" w:tentative="1">
      <w:start w:val="1"/>
      <w:numFmt w:val="bullet"/>
      <w:lvlText w:val="•"/>
      <w:lvlJc w:val="left"/>
      <w:pPr>
        <w:tabs>
          <w:tab w:val="num" w:pos="5040"/>
        </w:tabs>
        <w:ind w:left="5040" w:hanging="360"/>
      </w:pPr>
      <w:rPr>
        <w:rFonts w:ascii="Arial" w:hAnsi="Arial" w:hint="default"/>
      </w:rPr>
    </w:lvl>
    <w:lvl w:ilvl="7" w:tplc="31ECAA06" w:tentative="1">
      <w:start w:val="1"/>
      <w:numFmt w:val="bullet"/>
      <w:lvlText w:val="•"/>
      <w:lvlJc w:val="left"/>
      <w:pPr>
        <w:tabs>
          <w:tab w:val="num" w:pos="5760"/>
        </w:tabs>
        <w:ind w:left="5760" w:hanging="360"/>
      </w:pPr>
      <w:rPr>
        <w:rFonts w:ascii="Arial" w:hAnsi="Arial" w:hint="default"/>
      </w:rPr>
    </w:lvl>
    <w:lvl w:ilvl="8" w:tplc="163C39F4" w:tentative="1">
      <w:start w:val="1"/>
      <w:numFmt w:val="bullet"/>
      <w:lvlText w:val="•"/>
      <w:lvlJc w:val="left"/>
      <w:pPr>
        <w:tabs>
          <w:tab w:val="num" w:pos="6480"/>
        </w:tabs>
        <w:ind w:left="6480" w:hanging="360"/>
      </w:pPr>
      <w:rPr>
        <w:rFonts w:ascii="Arial" w:hAnsi="Arial" w:hint="default"/>
      </w:rPr>
    </w:lvl>
  </w:abstractNum>
  <w:abstractNum w:abstractNumId="7">
    <w:nsid w:val="474E3D16"/>
    <w:multiLevelType w:val="hybridMultilevel"/>
    <w:tmpl w:val="86421886"/>
    <w:lvl w:ilvl="0" w:tplc="1E82CA5C">
      <w:start w:val="1"/>
      <w:numFmt w:val="bullet"/>
      <w:lvlText w:val="•"/>
      <w:lvlJc w:val="left"/>
      <w:pPr>
        <w:tabs>
          <w:tab w:val="num" w:pos="720"/>
        </w:tabs>
        <w:ind w:left="720" w:hanging="360"/>
      </w:pPr>
      <w:rPr>
        <w:rFonts w:ascii="Arial" w:hAnsi="Arial" w:hint="default"/>
      </w:rPr>
    </w:lvl>
    <w:lvl w:ilvl="1" w:tplc="EA428288" w:tentative="1">
      <w:start w:val="1"/>
      <w:numFmt w:val="bullet"/>
      <w:lvlText w:val="•"/>
      <w:lvlJc w:val="left"/>
      <w:pPr>
        <w:tabs>
          <w:tab w:val="num" w:pos="1440"/>
        </w:tabs>
        <w:ind w:left="1440" w:hanging="360"/>
      </w:pPr>
      <w:rPr>
        <w:rFonts w:ascii="Arial" w:hAnsi="Arial" w:hint="default"/>
      </w:rPr>
    </w:lvl>
    <w:lvl w:ilvl="2" w:tplc="FCB2F054" w:tentative="1">
      <w:start w:val="1"/>
      <w:numFmt w:val="bullet"/>
      <w:lvlText w:val="•"/>
      <w:lvlJc w:val="left"/>
      <w:pPr>
        <w:tabs>
          <w:tab w:val="num" w:pos="2160"/>
        </w:tabs>
        <w:ind w:left="2160" w:hanging="360"/>
      </w:pPr>
      <w:rPr>
        <w:rFonts w:ascii="Arial" w:hAnsi="Arial" w:hint="default"/>
      </w:rPr>
    </w:lvl>
    <w:lvl w:ilvl="3" w:tplc="7AE6387C" w:tentative="1">
      <w:start w:val="1"/>
      <w:numFmt w:val="bullet"/>
      <w:lvlText w:val="•"/>
      <w:lvlJc w:val="left"/>
      <w:pPr>
        <w:tabs>
          <w:tab w:val="num" w:pos="2880"/>
        </w:tabs>
        <w:ind w:left="2880" w:hanging="360"/>
      </w:pPr>
      <w:rPr>
        <w:rFonts w:ascii="Arial" w:hAnsi="Arial" w:hint="default"/>
      </w:rPr>
    </w:lvl>
    <w:lvl w:ilvl="4" w:tplc="3DBA6E9E" w:tentative="1">
      <w:start w:val="1"/>
      <w:numFmt w:val="bullet"/>
      <w:lvlText w:val="•"/>
      <w:lvlJc w:val="left"/>
      <w:pPr>
        <w:tabs>
          <w:tab w:val="num" w:pos="3600"/>
        </w:tabs>
        <w:ind w:left="3600" w:hanging="360"/>
      </w:pPr>
      <w:rPr>
        <w:rFonts w:ascii="Arial" w:hAnsi="Arial" w:hint="default"/>
      </w:rPr>
    </w:lvl>
    <w:lvl w:ilvl="5" w:tplc="18A61BD0" w:tentative="1">
      <w:start w:val="1"/>
      <w:numFmt w:val="bullet"/>
      <w:lvlText w:val="•"/>
      <w:lvlJc w:val="left"/>
      <w:pPr>
        <w:tabs>
          <w:tab w:val="num" w:pos="4320"/>
        </w:tabs>
        <w:ind w:left="4320" w:hanging="360"/>
      </w:pPr>
      <w:rPr>
        <w:rFonts w:ascii="Arial" w:hAnsi="Arial" w:hint="default"/>
      </w:rPr>
    </w:lvl>
    <w:lvl w:ilvl="6" w:tplc="590C811A" w:tentative="1">
      <w:start w:val="1"/>
      <w:numFmt w:val="bullet"/>
      <w:lvlText w:val="•"/>
      <w:lvlJc w:val="left"/>
      <w:pPr>
        <w:tabs>
          <w:tab w:val="num" w:pos="5040"/>
        </w:tabs>
        <w:ind w:left="5040" w:hanging="360"/>
      </w:pPr>
      <w:rPr>
        <w:rFonts w:ascii="Arial" w:hAnsi="Arial" w:hint="default"/>
      </w:rPr>
    </w:lvl>
    <w:lvl w:ilvl="7" w:tplc="28FA6C06" w:tentative="1">
      <w:start w:val="1"/>
      <w:numFmt w:val="bullet"/>
      <w:lvlText w:val="•"/>
      <w:lvlJc w:val="left"/>
      <w:pPr>
        <w:tabs>
          <w:tab w:val="num" w:pos="5760"/>
        </w:tabs>
        <w:ind w:left="5760" w:hanging="360"/>
      </w:pPr>
      <w:rPr>
        <w:rFonts w:ascii="Arial" w:hAnsi="Arial" w:hint="default"/>
      </w:rPr>
    </w:lvl>
    <w:lvl w:ilvl="8" w:tplc="BC42D2EA" w:tentative="1">
      <w:start w:val="1"/>
      <w:numFmt w:val="bullet"/>
      <w:lvlText w:val="•"/>
      <w:lvlJc w:val="left"/>
      <w:pPr>
        <w:tabs>
          <w:tab w:val="num" w:pos="6480"/>
        </w:tabs>
        <w:ind w:left="6480" w:hanging="360"/>
      </w:pPr>
      <w:rPr>
        <w:rFonts w:ascii="Arial" w:hAnsi="Arial" w:hint="default"/>
      </w:rPr>
    </w:lvl>
  </w:abstractNum>
  <w:abstractNum w:abstractNumId="8">
    <w:nsid w:val="51D46E3B"/>
    <w:multiLevelType w:val="hybridMultilevel"/>
    <w:tmpl w:val="31EEBF50"/>
    <w:lvl w:ilvl="0" w:tplc="E3BC454C">
      <w:start w:val="1"/>
      <w:numFmt w:val="bullet"/>
      <w:lvlText w:val="•"/>
      <w:lvlJc w:val="left"/>
      <w:pPr>
        <w:tabs>
          <w:tab w:val="num" w:pos="720"/>
        </w:tabs>
        <w:ind w:left="720" w:hanging="360"/>
      </w:pPr>
      <w:rPr>
        <w:rFonts w:ascii="Arial" w:hAnsi="Arial" w:hint="default"/>
      </w:rPr>
    </w:lvl>
    <w:lvl w:ilvl="1" w:tplc="C9A2CA88" w:tentative="1">
      <w:start w:val="1"/>
      <w:numFmt w:val="bullet"/>
      <w:lvlText w:val="•"/>
      <w:lvlJc w:val="left"/>
      <w:pPr>
        <w:tabs>
          <w:tab w:val="num" w:pos="1440"/>
        </w:tabs>
        <w:ind w:left="1440" w:hanging="360"/>
      </w:pPr>
      <w:rPr>
        <w:rFonts w:ascii="Arial" w:hAnsi="Arial" w:hint="default"/>
      </w:rPr>
    </w:lvl>
    <w:lvl w:ilvl="2" w:tplc="7F0A247E" w:tentative="1">
      <w:start w:val="1"/>
      <w:numFmt w:val="bullet"/>
      <w:lvlText w:val="•"/>
      <w:lvlJc w:val="left"/>
      <w:pPr>
        <w:tabs>
          <w:tab w:val="num" w:pos="2160"/>
        </w:tabs>
        <w:ind w:left="2160" w:hanging="360"/>
      </w:pPr>
      <w:rPr>
        <w:rFonts w:ascii="Arial" w:hAnsi="Arial" w:hint="default"/>
      </w:rPr>
    </w:lvl>
    <w:lvl w:ilvl="3" w:tplc="3AF66C30" w:tentative="1">
      <w:start w:val="1"/>
      <w:numFmt w:val="bullet"/>
      <w:lvlText w:val="•"/>
      <w:lvlJc w:val="left"/>
      <w:pPr>
        <w:tabs>
          <w:tab w:val="num" w:pos="2880"/>
        </w:tabs>
        <w:ind w:left="2880" w:hanging="360"/>
      </w:pPr>
      <w:rPr>
        <w:rFonts w:ascii="Arial" w:hAnsi="Arial" w:hint="default"/>
      </w:rPr>
    </w:lvl>
    <w:lvl w:ilvl="4" w:tplc="E6A878CA" w:tentative="1">
      <w:start w:val="1"/>
      <w:numFmt w:val="bullet"/>
      <w:lvlText w:val="•"/>
      <w:lvlJc w:val="left"/>
      <w:pPr>
        <w:tabs>
          <w:tab w:val="num" w:pos="3600"/>
        </w:tabs>
        <w:ind w:left="3600" w:hanging="360"/>
      </w:pPr>
      <w:rPr>
        <w:rFonts w:ascii="Arial" w:hAnsi="Arial" w:hint="default"/>
      </w:rPr>
    </w:lvl>
    <w:lvl w:ilvl="5" w:tplc="62EA1C18" w:tentative="1">
      <w:start w:val="1"/>
      <w:numFmt w:val="bullet"/>
      <w:lvlText w:val="•"/>
      <w:lvlJc w:val="left"/>
      <w:pPr>
        <w:tabs>
          <w:tab w:val="num" w:pos="4320"/>
        </w:tabs>
        <w:ind w:left="4320" w:hanging="360"/>
      </w:pPr>
      <w:rPr>
        <w:rFonts w:ascii="Arial" w:hAnsi="Arial" w:hint="default"/>
      </w:rPr>
    </w:lvl>
    <w:lvl w:ilvl="6" w:tplc="4E8E2746" w:tentative="1">
      <w:start w:val="1"/>
      <w:numFmt w:val="bullet"/>
      <w:lvlText w:val="•"/>
      <w:lvlJc w:val="left"/>
      <w:pPr>
        <w:tabs>
          <w:tab w:val="num" w:pos="5040"/>
        </w:tabs>
        <w:ind w:left="5040" w:hanging="360"/>
      </w:pPr>
      <w:rPr>
        <w:rFonts w:ascii="Arial" w:hAnsi="Arial" w:hint="default"/>
      </w:rPr>
    </w:lvl>
    <w:lvl w:ilvl="7" w:tplc="F2D686C6" w:tentative="1">
      <w:start w:val="1"/>
      <w:numFmt w:val="bullet"/>
      <w:lvlText w:val="•"/>
      <w:lvlJc w:val="left"/>
      <w:pPr>
        <w:tabs>
          <w:tab w:val="num" w:pos="5760"/>
        </w:tabs>
        <w:ind w:left="5760" w:hanging="360"/>
      </w:pPr>
      <w:rPr>
        <w:rFonts w:ascii="Arial" w:hAnsi="Arial" w:hint="default"/>
      </w:rPr>
    </w:lvl>
    <w:lvl w:ilvl="8" w:tplc="F6DCE2B8" w:tentative="1">
      <w:start w:val="1"/>
      <w:numFmt w:val="bullet"/>
      <w:lvlText w:val="•"/>
      <w:lvlJc w:val="left"/>
      <w:pPr>
        <w:tabs>
          <w:tab w:val="num" w:pos="6480"/>
        </w:tabs>
        <w:ind w:left="6480" w:hanging="360"/>
      </w:pPr>
      <w:rPr>
        <w:rFonts w:ascii="Arial" w:hAnsi="Arial" w:hint="default"/>
      </w:rPr>
    </w:lvl>
  </w:abstractNum>
  <w:abstractNum w:abstractNumId="9">
    <w:nsid w:val="7D516429"/>
    <w:multiLevelType w:val="hybridMultilevel"/>
    <w:tmpl w:val="A80C7EEE"/>
    <w:lvl w:ilvl="0" w:tplc="E14A926C">
      <w:start w:val="1"/>
      <w:numFmt w:val="bullet"/>
      <w:lvlText w:val="•"/>
      <w:lvlJc w:val="left"/>
      <w:pPr>
        <w:tabs>
          <w:tab w:val="num" w:pos="720"/>
        </w:tabs>
        <w:ind w:left="720" w:hanging="360"/>
      </w:pPr>
      <w:rPr>
        <w:rFonts w:ascii="Arial" w:hAnsi="Arial" w:hint="default"/>
      </w:rPr>
    </w:lvl>
    <w:lvl w:ilvl="1" w:tplc="BB08CB4A" w:tentative="1">
      <w:start w:val="1"/>
      <w:numFmt w:val="bullet"/>
      <w:lvlText w:val="•"/>
      <w:lvlJc w:val="left"/>
      <w:pPr>
        <w:tabs>
          <w:tab w:val="num" w:pos="1440"/>
        </w:tabs>
        <w:ind w:left="1440" w:hanging="360"/>
      </w:pPr>
      <w:rPr>
        <w:rFonts w:ascii="Arial" w:hAnsi="Arial" w:hint="default"/>
      </w:rPr>
    </w:lvl>
    <w:lvl w:ilvl="2" w:tplc="739EDA08" w:tentative="1">
      <w:start w:val="1"/>
      <w:numFmt w:val="bullet"/>
      <w:lvlText w:val="•"/>
      <w:lvlJc w:val="left"/>
      <w:pPr>
        <w:tabs>
          <w:tab w:val="num" w:pos="2160"/>
        </w:tabs>
        <w:ind w:left="2160" w:hanging="360"/>
      </w:pPr>
      <w:rPr>
        <w:rFonts w:ascii="Arial" w:hAnsi="Arial" w:hint="default"/>
      </w:rPr>
    </w:lvl>
    <w:lvl w:ilvl="3" w:tplc="0B729774" w:tentative="1">
      <w:start w:val="1"/>
      <w:numFmt w:val="bullet"/>
      <w:lvlText w:val="•"/>
      <w:lvlJc w:val="left"/>
      <w:pPr>
        <w:tabs>
          <w:tab w:val="num" w:pos="2880"/>
        </w:tabs>
        <w:ind w:left="2880" w:hanging="360"/>
      </w:pPr>
      <w:rPr>
        <w:rFonts w:ascii="Arial" w:hAnsi="Arial" w:hint="default"/>
      </w:rPr>
    </w:lvl>
    <w:lvl w:ilvl="4" w:tplc="DB6667C0" w:tentative="1">
      <w:start w:val="1"/>
      <w:numFmt w:val="bullet"/>
      <w:lvlText w:val="•"/>
      <w:lvlJc w:val="left"/>
      <w:pPr>
        <w:tabs>
          <w:tab w:val="num" w:pos="3600"/>
        </w:tabs>
        <w:ind w:left="3600" w:hanging="360"/>
      </w:pPr>
      <w:rPr>
        <w:rFonts w:ascii="Arial" w:hAnsi="Arial" w:hint="default"/>
      </w:rPr>
    </w:lvl>
    <w:lvl w:ilvl="5" w:tplc="A09AAB3A" w:tentative="1">
      <w:start w:val="1"/>
      <w:numFmt w:val="bullet"/>
      <w:lvlText w:val="•"/>
      <w:lvlJc w:val="left"/>
      <w:pPr>
        <w:tabs>
          <w:tab w:val="num" w:pos="4320"/>
        </w:tabs>
        <w:ind w:left="4320" w:hanging="360"/>
      </w:pPr>
      <w:rPr>
        <w:rFonts w:ascii="Arial" w:hAnsi="Arial" w:hint="default"/>
      </w:rPr>
    </w:lvl>
    <w:lvl w:ilvl="6" w:tplc="6CE86BEA" w:tentative="1">
      <w:start w:val="1"/>
      <w:numFmt w:val="bullet"/>
      <w:lvlText w:val="•"/>
      <w:lvlJc w:val="left"/>
      <w:pPr>
        <w:tabs>
          <w:tab w:val="num" w:pos="5040"/>
        </w:tabs>
        <w:ind w:left="5040" w:hanging="360"/>
      </w:pPr>
      <w:rPr>
        <w:rFonts w:ascii="Arial" w:hAnsi="Arial" w:hint="default"/>
      </w:rPr>
    </w:lvl>
    <w:lvl w:ilvl="7" w:tplc="7834022E" w:tentative="1">
      <w:start w:val="1"/>
      <w:numFmt w:val="bullet"/>
      <w:lvlText w:val="•"/>
      <w:lvlJc w:val="left"/>
      <w:pPr>
        <w:tabs>
          <w:tab w:val="num" w:pos="5760"/>
        </w:tabs>
        <w:ind w:left="5760" w:hanging="360"/>
      </w:pPr>
      <w:rPr>
        <w:rFonts w:ascii="Arial" w:hAnsi="Arial" w:hint="default"/>
      </w:rPr>
    </w:lvl>
    <w:lvl w:ilvl="8" w:tplc="0D6AF156"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7"/>
  </w:num>
  <w:num w:numId="3">
    <w:abstractNumId w:val="0"/>
  </w:num>
  <w:num w:numId="4">
    <w:abstractNumId w:val="4"/>
  </w:num>
  <w:num w:numId="5">
    <w:abstractNumId w:val="1"/>
  </w:num>
  <w:num w:numId="6">
    <w:abstractNumId w:val="5"/>
  </w:num>
  <w:num w:numId="7">
    <w:abstractNumId w:val="9"/>
  </w:num>
  <w:num w:numId="8">
    <w:abstractNumId w:val="6"/>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isplayBackgroundShape/>
  <w:embedSystemFonts/>
  <w:proofState w:spelling="clean" w:grammar="clean"/>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A15"/>
    <w:rsid w:val="00000CCA"/>
    <w:rsid w:val="0000268A"/>
    <w:rsid w:val="000029DC"/>
    <w:rsid w:val="00020ABE"/>
    <w:rsid w:val="00033166"/>
    <w:rsid w:val="00037212"/>
    <w:rsid w:val="00045E13"/>
    <w:rsid w:val="000643BE"/>
    <w:rsid w:val="00073598"/>
    <w:rsid w:val="00084561"/>
    <w:rsid w:val="000A2ECF"/>
    <w:rsid w:val="000A684D"/>
    <w:rsid w:val="000B0DDF"/>
    <w:rsid w:val="000E1AEC"/>
    <w:rsid w:val="000E6ED5"/>
    <w:rsid w:val="000E6F1B"/>
    <w:rsid w:val="00110D23"/>
    <w:rsid w:val="00113442"/>
    <w:rsid w:val="00114D72"/>
    <w:rsid w:val="00124FD0"/>
    <w:rsid w:val="00135A0D"/>
    <w:rsid w:val="00140B70"/>
    <w:rsid w:val="001816F5"/>
    <w:rsid w:val="00184268"/>
    <w:rsid w:val="001C4969"/>
    <w:rsid w:val="00200E9F"/>
    <w:rsid w:val="00201916"/>
    <w:rsid w:val="0021505F"/>
    <w:rsid w:val="0021642E"/>
    <w:rsid w:val="002379BD"/>
    <w:rsid w:val="00240387"/>
    <w:rsid w:val="00242292"/>
    <w:rsid w:val="00253D0B"/>
    <w:rsid w:val="00257831"/>
    <w:rsid w:val="00263A70"/>
    <w:rsid w:val="002661F6"/>
    <w:rsid w:val="00274C2D"/>
    <w:rsid w:val="002B02EC"/>
    <w:rsid w:val="002B0A83"/>
    <w:rsid w:val="002C205B"/>
    <w:rsid w:val="002D6B34"/>
    <w:rsid w:val="002E41F3"/>
    <w:rsid w:val="002E5D67"/>
    <w:rsid w:val="00303D72"/>
    <w:rsid w:val="00304E83"/>
    <w:rsid w:val="0031513A"/>
    <w:rsid w:val="00316B72"/>
    <w:rsid w:val="00342980"/>
    <w:rsid w:val="00362F62"/>
    <w:rsid w:val="003A295F"/>
    <w:rsid w:val="003B5F11"/>
    <w:rsid w:val="003D4CA7"/>
    <w:rsid w:val="00410D28"/>
    <w:rsid w:val="004149BC"/>
    <w:rsid w:val="00423F7E"/>
    <w:rsid w:val="00424984"/>
    <w:rsid w:val="00432B13"/>
    <w:rsid w:val="004416C6"/>
    <w:rsid w:val="00442152"/>
    <w:rsid w:val="00463705"/>
    <w:rsid w:val="00467657"/>
    <w:rsid w:val="00477376"/>
    <w:rsid w:val="00484071"/>
    <w:rsid w:val="00496975"/>
    <w:rsid w:val="004C4797"/>
    <w:rsid w:val="004C530C"/>
    <w:rsid w:val="004D3BD7"/>
    <w:rsid w:val="004F0270"/>
    <w:rsid w:val="004F092C"/>
    <w:rsid w:val="004F3A0C"/>
    <w:rsid w:val="005120EE"/>
    <w:rsid w:val="005121D9"/>
    <w:rsid w:val="00530D20"/>
    <w:rsid w:val="005314D4"/>
    <w:rsid w:val="005336A7"/>
    <w:rsid w:val="00544A8B"/>
    <w:rsid w:val="0055281B"/>
    <w:rsid w:val="00556975"/>
    <w:rsid w:val="0056593F"/>
    <w:rsid w:val="0057600D"/>
    <w:rsid w:val="00580AEA"/>
    <w:rsid w:val="00585EC6"/>
    <w:rsid w:val="005A3D89"/>
    <w:rsid w:val="005A6FB4"/>
    <w:rsid w:val="005C2DC0"/>
    <w:rsid w:val="005E1D4D"/>
    <w:rsid w:val="005E5676"/>
    <w:rsid w:val="005F4679"/>
    <w:rsid w:val="00603D2F"/>
    <w:rsid w:val="006144AE"/>
    <w:rsid w:val="006167C5"/>
    <w:rsid w:val="00627A90"/>
    <w:rsid w:val="00636E88"/>
    <w:rsid w:val="00640506"/>
    <w:rsid w:val="00647691"/>
    <w:rsid w:val="00647BF8"/>
    <w:rsid w:val="00652F45"/>
    <w:rsid w:val="006669D4"/>
    <w:rsid w:val="006717F1"/>
    <w:rsid w:val="00697FCC"/>
    <w:rsid w:val="006B513D"/>
    <w:rsid w:val="006C0494"/>
    <w:rsid w:val="006D0136"/>
    <w:rsid w:val="006F1D82"/>
    <w:rsid w:val="006F2CF0"/>
    <w:rsid w:val="006F3019"/>
    <w:rsid w:val="0071097C"/>
    <w:rsid w:val="0072184F"/>
    <w:rsid w:val="00726C9E"/>
    <w:rsid w:val="00732144"/>
    <w:rsid w:val="00733AD1"/>
    <w:rsid w:val="00745EAB"/>
    <w:rsid w:val="0077113A"/>
    <w:rsid w:val="0077254A"/>
    <w:rsid w:val="00786ABF"/>
    <w:rsid w:val="007A2170"/>
    <w:rsid w:val="007D7A92"/>
    <w:rsid w:val="007E7ACE"/>
    <w:rsid w:val="007E7FBB"/>
    <w:rsid w:val="008235E1"/>
    <w:rsid w:val="008242C9"/>
    <w:rsid w:val="00830058"/>
    <w:rsid w:val="00850E7C"/>
    <w:rsid w:val="00851E9E"/>
    <w:rsid w:val="00881334"/>
    <w:rsid w:val="0088465A"/>
    <w:rsid w:val="00885ED2"/>
    <w:rsid w:val="0088632B"/>
    <w:rsid w:val="008B34CC"/>
    <w:rsid w:val="008C7182"/>
    <w:rsid w:val="008D02D2"/>
    <w:rsid w:val="008D4960"/>
    <w:rsid w:val="008E5262"/>
    <w:rsid w:val="00905F4C"/>
    <w:rsid w:val="00913D44"/>
    <w:rsid w:val="00914DF1"/>
    <w:rsid w:val="00934D3C"/>
    <w:rsid w:val="00946626"/>
    <w:rsid w:val="00962AC1"/>
    <w:rsid w:val="00964F9F"/>
    <w:rsid w:val="00977323"/>
    <w:rsid w:val="00980ECF"/>
    <w:rsid w:val="00992235"/>
    <w:rsid w:val="0099510E"/>
    <w:rsid w:val="009D5527"/>
    <w:rsid w:val="009E0063"/>
    <w:rsid w:val="00A11013"/>
    <w:rsid w:val="00A159A3"/>
    <w:rsid w:val="00A24546"/>
    <w:rsid w:val="00A40BBF"/>
    <w:rsid w:val="00A944D5"/>
    <w:rsid w:val="00AB7DA3"/>
    <w:rsid w:val="00AC1DE9"/>
    <w:rsid w:val="00AC27D6"/>
    <w:rsid w:val="00AE4751"/>
    <w:rsid w:val="00AE5DEF"/>
    <w:rsid w:val="00AF5B78"/>
    <w:rsid w:val="00B02273"/>
    <w:rsid w:val="00B04774"/>
    <w:rsid w:val="00B2129D"/>
    <w:rsid w:val="00B86606"/>
    <w:rsid w:val="00B97E7A"/>
    <w:rsid w:val="00BA7617"/>
    <w:rsid w:val="00BE4DEB"/>
    <w:rsid w:val="00BF66B8"/>
    <w:rsid w:val="00C06E7F"/>
    <w:rsid w:val="00C43EC6"/>
    <w:rsid w:val="00C649F7"/>
    <w:rsid w:val="00C775EA"/>
    <w:rsid w:val="00C95326"/>
    <w:rsid w:val="00C974BB"/>
    <w:rsid w:val="00CE32A1"/>
    <w:rsid w:val="00CF7AC8"/>
    <w:rsid w:val="00D0616C"/>
    <w:rsid w:val="00D37EEA"/>
    <w:rsid w:val="00D55796"/>
    <w:rsid w:val="00D94217"/>
    <w:rsid w:val="00DA017B"/>
    <w:rsid w:val="00DB5A1C"/>
    <w:rsid w:val="00DB692B"/>
    <w:rsid w:val="00DD420D"/>
    <w:rsid w:val="00E11BD5"/>
    <w:rsid w:val="00E14129"/>
    <w:rsid w:val="00E14748"/>
    <w:rsid w:val="00E3216F"/>
    <w:rsid w:val="00E376F2"/>
    <w:rsid w:val="00E55FC4"/>
    <w:rsid w:val="00E61273"/>
    <w:rsid w:val="00E74112"/>
    <w:rsid w:val="00E76A15"/>
    <w:rsid w:val="00E87A30"/>
    <w:rsid w:val="00EB53A6"/>
    <w:rsid w:val="00EC733B"/>
    <w:rsid w:val="00ED626A"/>
    <w:rsid w:val="00ED7263"/>
    <w:rsid w:val="00EE6B81"/>
    <w:rsid w:val="00F26E86"/>
    <w:rsid w:val="00F312F9"/>
    <w:rsid w:val="00F619F2"/>
    <w:rsid w:val="00F756B0"/>
    <w:rsid w:val="00F82EB7"/>
    <w:rsid w:val="00FE3178"/>
    <w:rsid w:val="00FE6FE4"/>
    <w:rsid w:val="00FF33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07AB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4960"/>
    <w:pPr>
      <w:suppressAutoHyphens/>
    </w:pPr>
    <w:rPr>
      <w:rFonts w:ascii="Cambria" w:eastAsia="MS Mincho" w:hAnsi="Cambria"/>
      <w:sz w:val="24"/>
      <w:szCs w:val="24"/>
      <w:lang w:val="ru-RU"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uiPriority w:val="99"/>
    <w:rsid w:val="008D4960"/>
    <w:rPr>
      <w:rFonts w:ascii="Symbol" w:hAnsi="Symbol"/>
    </w:rPr>
  </w:style>
  <w:style w:type="character" w:customStyle="1" w:styleId="WW8Num1z2">
    <w:name w:val="WW8Num1z2"/>
    <w:uiPriority w:val="99"/>
    <w:rsid w:val="008D4960"/>
    <w:rPr>
      <w:rFonts w:ascii="Courier New" w:hAnsi="Courier New"/>
    </w:rPr>
  </w:style>
  <w:style w:type="character" w:customStyle="1" w:styleId="WW8Num1z3">
    <w:name w:val="WW8Num1z3"/>
    <w:uiPriority w:val="99"/>
    <w:rsid w:val="008D4960"/>
    <w:rPr>
      <w:rFonts w:ascii="Wingdings" w:hAnsi="Wingdings"/>
    </w:rPr>
  </w:style>
  <w:style w:type="character" w:customStyle="1" w:styleId="WW8Num2z0">
    <w:name w:val="WW8Num2z0"/>
    <w:uiPriority w:val="99"/>
    <w:rsid w:val="008D4960"/>
    <w:rPr>
      <w:rFonts w:ascii="Arial" w:hAnsi="Arial"/>
    </w:rPr>
  </w:style>
  <w:style w:type="character" w:customStyle="1" w:styleId="WW8Num3z0">
    <w:name w:val="WW8Num3z0"/>
    <w:uiPriority w:val="99"/>
    <w:rsid w:val="008D4960"/>
  </w:style>
  <w:style w:type="character" w:customStyle="1" w:styleId="WW8Num3z1">
    <w:name w:val="WW8Num3z1"/>
    <w:uiPriority w:val="99"/>
    <w:rsid w:val="008D4960"/>
  </w:style>
  <w:style w:type="character" w:customStyle="1" w:styleId="WW8Num3z2">
    <w:name w:val="WW8Num3z2"/>
    <w:uiPriority w:val="99"/>
    <w:rsid w:val="008D4960"/>
  </w:style>
  <w:style w:type="character" w:customStyle="1" w:styleId="WW8Num3z3">
    <w:name w:val="WW8Num3z3"/>
    <w:uiPriority w:val="99"/>
    <w:rsid w:val="008D4960"/>
  </w:style>
  <w:style w:type="character" w:customStyle="1" w:styleId="WW8Num3z4">
    <w:name w:val="WW8Num3z4"/>
    <w:uiPriority w:val="99"/>
    <w:rsid w:val="008D4960"/>
  </w:style>
  <w:style w:type="character" w:customStyle="1" w:styleId="WW8Num3z5">
    <w:name w:val="WW8Num3z5"/>
    <w:uiPriority w:val="99"/>
    <w:rsid w:val="008D4960"/>
  </w:style>
  <w:style w:type="character" w:customStyle="1" w:styleId="WW8Num3z6">
    <w:name w:val="WW8Num3z6"/>
    <w:uiPriority w:val="99"/>
    <w:rsid w:val="008D4960"/>
  </w:style>
  <w:style w:type="character" w:customStyle="1" w:styleId="WW8Num3z7">
    <w:name w:val="WW8Num3z7"/>
    <w:uiPriority w:val="99"/>
    <w:rsid w:val="008D4960"/>
  </w:style>
  <w:style w:type="character" w:customStyle="1" w:styleId="WW8Num3z8">
    <w:name w:val="WW8Num3z8"/>
    <w:uiPriority w:val="99"/>
    <w:rsid w:val="008D4960"/>
  </w:style>
  <w:style w:type="character" w:customStyle="1" w:styleId="WW8Num4z0">
    <w:name w:val="WW8Num4z0"/>
    <w:uiPriority w:val="99"/>
    <w:rsid w:val="008D4960"/>
    <w:rPr>
      <w:rFonts w:ascii="Arial" w:hAnsi="Arial"/>
    </w:rPr>
  </w:style>
  <w:style w:type="character" w:customStyle="1" w:styleId="a3">
    <w:name w:val="Текст выноски Знак"/>
    <w:uiPriority w:val="99"/>
    <w:rsid w:val="008D4960"/>
    <w:rPr>
      <w:rFonts w:ascii="Lucida Grande CY" w:hAnsi="Lucida Grande CY"/>
      <w:sz w:val="18"/>
    </w:rPr>
  </w:style>
  <w:style w:type="paragraph" w:customStyle="1" w:styleId="a4">
    <w:name w:val="Заголовок"/>
    <w:basedOn w:val="a"/>
    <w:next w:val="a5"/>
    <w:uiPriority w:val="99"/>
    <w:rsid w:val="008D4960"/>
    <w:pPr>
      <w:keepNext/>
      <w:spacing w:before="240" w:after="120"/>
    </w:pPr>
    <w:rPr>
      <w:rFonts w:ascii="Arial" w:eastAsia="Times New Roman" w:hAnsi="Arial" w:cs="Mangal"/>
      <w:sz w:val="28"/>
      <w:szCs w:val="28"/>
    </w:rPr>
  </w:style>
  <w:style w:type="paragraph" w:styleId="a5">
    <w:name w:val="Body Text"/>
    <w:basedOn w:val="a"/>
    <w:link w:val="a6"/>
    <w:uiPriority w:val="99"/>
    <w:rsid w:val="008D4960"/>
    <w:pPr>
      <w:spacing w:after="120"/>
    </w:pPr>
  </w:style>
  <w:style w:type="character" w:customStyle="1" w:styleId="a6">
    <w:name w:val="Основной текст Знак"/>
    <w:basedOn w:val="a0"/>
    <w:link w:val="a5"/>
    <w:uiPriority w:val="99"/>
    <w:semiHidden/>
    <w:locked/>
    <w:rPr>
      <w:rFonts w:ascii="Cambria" w:eastAsia="MS Mincho" w:hAnsi="Cambria" w:cs="Times New Roman"/>
      <w:sz w:val="24"/>
      <w:szCs w:val="24"/>
      <w:lang w:val="ru-RU" w:eastAsia="ar-SA" w:bidi="ar-SA"/>
    </w:rPr>
  </w:style>
  <w:style w:type="paragraph" w:styleId="a7">
    <w:name w:val="List"/>
    <w:basedOn w:val="a5"/>
    <w:uiPriority w:val="99"/>
    <w:rsid w:val="008D4960"/>
    <w:rPr>
      <w:rFonts w:cs="Mangal"/>
    </w:rPr>
  </w:style>
  <w:style w:type="paragraph" w:customStyle="1" w:styleId="1">
    <w:name w:val="Название1"/>
    <w:basedOn w:val="a"/>
    <w:uiPriority w:val="99"/>
    <w:rsid w:val="008D4960"/>
    <w:pPr>
      <w:suppressLineNumbers/>
      <w:spacing w:before="120" w:after="120"/>
    </w:pPr>
    <w:rPr>
      <w:rFonts w:cs="Mangal"/>
      <w:i/>
      <w:iCs/>
    </w:rPr>
  </w:style>
  <w:style w:type="paragraph" w:styleId="10">
    <w:name w:val="index 1"/>
    <w:basedOn w:val="a"/>
    <w:next w:val="a"/>
    <w:autoRedefine/>
    <w:uiPriority w:val="99"/>
    <w:semiHidden/>
    <w:rsid w:val="004F092C"/>
    <w:pPr>
      <w:ind w:left="240" w:hanging="240"/>
    </w:pPr>
  </w:style>
  <w:style w:type="paragraph" w:styleId="a8">
    <w:name w:val="index heading"/>
    <w:basedOn w:val="a"/>
    <w:uiPriority w:val="99"/>
    <w:rsid w:val="008D4960"/>
    <w:pPr>
      <w:suppressLineNumbers/>
    </w:pPr>
    <w:rPr>
      <w:rFonts w:cs="Mangal"/>
    </w:rPr>
  </w:style>
  <w:style w:type="paragraph" w:styleId="a9">
    <w:name w:val="Balloon Text"/>
    <w:basedOn w:val="a"/>
    <w:link w:val="11"/>
    <w:uiPriority w:val="99"/>
    <w:rsid w:val="008D4960"/>
    <w:rPr>
      <w:rFonts w:ascii="Lucida Grande CY" w:hAnsi="Lucida Grande CY" w:cs="Lucida Grande CY"/>
      <w:sz w:val="18"/>
      <w:szCs w:val="18"/>
    </w:rPr>
  </w:style>
  <w:style w:type="character" w:customStyle="1" w:styleId="11">
    <w:name w:val="Текст выноски Знак1"/>
    <w:basedOn w:val="a0"/>
    <w:link w:val="a9"/>
    <w:uiPriority w:val="99"/>
    <w:semiHidden/>
    <w:locked/>
    <w:rPr>
      <w:rFonts w:eastAsia="MS Mincho" w:cs="Times New Roman"/>
      <w:sz w:val="2"/>
      <w:lang w:val="ru-RU" w:eastAsia="ar-SA" w:bidi="ar-SA"/>
    </w:rPr>
  </w:style>
  <w:style w:type="paragraph" w:styleId="aa">
    <w:name w:val="Normal (Web)"/>
    <w:basedOn w:val="a"/>
    <w:uiPriority w:val="99"/>
    <w:rsid w:val="008D4960"/>
    <w:pPr>
      <w:spacing w:before="280" w:after="280"/>
    </w:pPr>
    <w:rPr>
      <w:rFonts w:ascii="Times" w:hAnsi="Times" w:cs="Times"/>
      <w:sz w:val="20"/>
      <w:szCs w:val="20"/>
    </w:rPr>
  </w:style>
  <w:style w:type="paragraph" w:customStyle="1" w:styleId="110">
    <w:name w:val="Цветной список — акцент 11"/>
    <w:basedOn w:val="a"/>
    <w:uiPriority w:val="99"/>
    <w:rsid w:val="008D4960"/>
    <w:pPr>
      <w:ind w:left="720"/>
    </w:pPr>
    <w:rPr>
      <w:rFonts w:ascii="Times New Roman" w:eastAsia="Times New Roman" w:hAnsi="Times New Roman"/>
    </w:rPr>
  </w:style>
  <w:style w:type="table" w:styleId="ab">
    <w:name w:val="Table Grid"/>
    <w:basedOn w:val="a1"/>
    <w:uiPriority w:val="99"/>
    <w:rsid w:val="00EB53A6"/>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99"/>
    <w:qFormat/>
    <w:rsid w:val="003A295F"/>
    <w:pPr>
      <w:suppressAutoHyphens w:val="0"/>
      <w:ind w:left="720"/>
      <w:contextualSpacing/>
    </w:pPr>
    <w:rPr>
      <w:rFonts w:ascii="Times New Roman" w:eastAsia="Times New Roman" w:hAnsi="Times New Roman"/>
      <w:lang w:eastAsia="ru-RU"/>
    </w:rPr>
  </w:style>
  <w:style w:type="character" w:styleId="ad">
    <w:name w:val="Hyperlink"/>
    <w:basedOn w:val="a0"/>
    <w:uiPriority w:val="99"/>
    <w:rsid w:val="00F312F9"/>
    <w:rPr>
      <w:rFonts w:cs="Times New Roman"/>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4960"/>
    <w:pPr>
      <w:suppressAutoHyphens/>
    </w:pPr>
    <w:rPr>
      <w:rFonts w:ascii="Cambria" w:eastAsia="MS Mincho" w:hAnsi="Cambria"/>
      <w:sz w:val="24"/>
      <w:szCs w:val="24"/>
      <w:lang w:val="ru-RU"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uiPriority w:val="99"/>
    <w:rsid w:val="008D4960"/>
    <w:rPr>
      <w:rFonts w:ascii="Symbol" w:hAnsi="Symbol"/>
    </w:rPr>
  </w:style>
  <w:style w:type="character" w:customStyle="1" w:styleId="WW8Num1z2">
    <w:name w:val="WW8Num1z2"/>
    <w:uiPriority w:val="99"/>
    <w:rsid w:val="008D4960"/>
    <w:rPr>
      <w:rFonts w:ascii="Courier New" w:hAnsi="Courier New"/>
    </w:rPr>
  </w:style>
  <w:style w:type="character" w:customStyle="1" w:styleId="WW8Num1z3">
    <w:name w:val="WW8Num1z3"/>
    <w:uiPriority w:val="99"/>
    <w:rsid w:val="008D4960"/>
    <w:rPr>
      <w:rFonts w:ascii="Wingdings" w:hAnsi="Wingdings"/>
    </w:rPr>
  </w:style>
  <w:style w:type="character" w:customStyle="1" w:styleId="WW8Num2z0">
    <w:name w:val="WW8Num2z0"/>
    <w:uiPriority w:val="99"/>
    <w:rsid w:val="008D4960"/>
    <w:rPr>
      <w:rFonts w:ascii="Arial" w:hAnsi="Arial"/>
    </w:rPr>
  </w:style>
  <w:style w:type="character" w:customStyle="1" w:styleId="WW8Num3z0">
    <w:name w:val="WW8Num3z0"/>
    <w:uiPriority w:val="99"/>
    <w:rsid w:val="008D4960"/>
  </w:style>
  <w:style w:type="character" w:customStyle="1" w:styleId="WW8Num3z1">
    <w:name w:val="WW8Num3z1"/>
    <w:uiPriority w:val="99"/>
    <w:rsid w:val="008D4960"/>
  </w:style>
  <w:style w:type="character" w:customStyle="1" w:styleId="WW8Num3z2">
    <w:name w:val="WW8Num3z2"/>
    <w:uiPriority w:val="99"/>
    <w:rsid w:val="008D4960"/>
  </w:style>
  <w:style w:type="character" w:customStyle="1" w:styleId="WW8Num3z3">
    <w:name w:val="WW8Num3z3"/>
    <w:uiPriority w:val="99"/>
    <w:rsid w:val="008D4960"/>
  </w:style>
  <w:style w:type="character" w:customStyle="1" w:styleId="WW8Num3z4">
    <w:name w:val="WW8Num3z4"/>
    <w:uiPriority w:val="99"/>
    <w:rsid w:val="008D4960"/>
  </w:style>
  <w:style w:type="character" w:customStyle="1" w:styleId="WW8Num3z5">
    <w:name w:val="WW8Num3z5"/>
    <w:uiPriority w:val="99"/>
    <w:rsid w:val="008D4960"/>
  </w:style>
  <w:style w:type="character" w:customStyle="1" w:styleId="WW8Num3z6">
    <w:name w:val="WW8Num3z6"/>
    <w:uiPriority w:val="99"/>
    <w:rsid w:val="008D4960"/>
  </w:style>
  <w:style w:type="character" w:customStyle="1" w:styleId="WW8Num3z7">
    <w:name w:val="WW8Num3z7"/>
    <w:uiPriority w:val="99"/>
    <w:rsid w:val="008D4960"/>
  </w:style>
  <w:style w:type="character" w:customStyle="1" w:styleId="WW8Num3z8">
    <w:name w:val="WW8Num3z8"/>
    <w:uiPriority w:val="99"/>
    <w:rsid w:val="008D4960"/>
  </w:style>
  <w:style w:type="character" w:customStyle="1" w:styleId="WW8Num4z0">
    <w:name w:val="WW8Num4z0"/>
    <w:uiPriority w:val="99"/>
    <w:rsid w:val="008D4960"/>
    <w:rPr>
      <w:rFonts w:ascii="Arial" w:hAnsi="Arial"/>
    </w:rPr>
  </w:style>
  <w:style w:type="character" w:customStyle="1" w:styleId="a3">
    <w:name w:val="Текст выноски Знак"/>
    <w:uiPriority w:val="99"/>
    <w:rsid w:val="008D4960"/>
    <w:rPr>
      <w:rFonts w:ascii="Lucida Grande CY" w:hAnsi="Lucida Grande CY"/>
      <w:sz w:val="18"/>
    </w:rPr>
  </w:style>
  <w:style w:type="paragraph" w:customStyle="1" w:styleId="a4">
    <w:name w:val="Заголовок"/>
    <w:basedOn w:val="a"/>
    <w:next w:val="a5"/>
    <w:uiPriority w:val="99"/>
    <w:rsid w:val="008D4960"/>
    <w:pPr>
      <w:keepNext/>
      <w:spacing w:before="240" w:after="120"/>
    </w:pPr>
    <w:rPr>
      <w:rFonts w:ascii="Arial" w:eastAsia="Times New Roman" w:hAnsi="Arial" w:cs="Mangal"/>
      <w:sz w:val="28"/>
      <w:szCs w:val="28"/>
    </w:rPr>
  </w:style>
  <w:style w:type="paragraph" w:styleId="a5">
    <w:name w:val="Body Text"/>
    <w:basedOn w:val="a"/>
    <w:link w:val="a6"/>
    <w:uiPriority w:val="99"/>
    <w:rsid w:val="008D4960"/>
    <w:pPr>
      <w:spacing w:after="120"/>
    </w:pPr>
  </w:style>
  <w:style w:type="character" w:customStyle="1" w:styleId="a6">
    <w:name w:val="Основной текст Знак"/>
    <w:basedOn w:val="a0"/>
    <w:link w:val="a5"/>
    <w:uiPriority w:val="99"/>
    <w:semiHidden/>
    <w:locked/>
    <w:rPr>
      <w:rFonts w:ascii="Cambria" w:eastAsia="MS Mincho" w:hAnsi="Cambria" w:cs="Times New Roman"/>
      <w:sz w:val="24"/>
      <w:szCs w:val="24"/>
      <w:lang w:val="ru-RU" w:eastAsia="ar-SA" w:bidi="ar-SA"/>
    </w:rPr>
  </w:style>
  <w:style w:type="paragraph" w:styleId="a7">
    <w:name w:val="List"/>
    <w:basedOn w:val="a5"/>
    <w:uiPriority w:val="99"/>
    <w:rsid w:val="008D4960"/>
    <w:rPr>
      <w:rFonts w:cs="Mangal"/>
    </w:rPr>
  </w:style>
  <w:style w:type="paragraph" w:customStyle="1" w:styleId="1">
    <w:name w:val="Название1"/>
    <w:basedOn w:val="a"/>
    <w:uiPriority w:val="99"/>
    <w:rsid w:val="008D4960"/>
    <w:pPr>
      <w:suppressLineNumbers/>
      <w:spacing w:before="120" w:after="120"/>
    </w:pPr>
    <w:rPr>
      <w:rFonts w:cs="Mangal"/>
      <w:i/>
      <w:iCs/>
    </w:rPr>
  </w:style>
  <w:style w:type="paragraph" w:styleId="10">
    <w:name w:val="index 1"/>
    <w:basedOn w:val="a"/>
    <w:next w:val="a"/>
    <w:autoRedefine/>
    <w:uiPriority w:val="99"/>
    <w:semiHidden/>
    <w:rsid w:val="004F092C"/>
    <w:pPr>
      <w:ind w:left="240" w:hanging="240"/>
    </w:pPr>
  </w:style>
  <w:style w:type="paragraph" w:styleId="a8">
    <w:name w:val="index heading"/>
    <w:basedOn w:val="a"/>
    <w:uiPriority w:val="99"/>
    <w:rsid w:val="008D4960"/>
    <w:pPr>
      <w:suppressLineNumbers/>
    </w:pPr>
    <w:rPr>
      <w:rFonts w:cs="Mangal"/>
    </w:rPr>
  </w:style>
  <w:style w:type="paragraph" w:styleId="a9">
    <w:name w:val="Balloon Text"/>
    <w:basedOn w:val="a"/>
    <w:link w:val="11"/>
    <w:uiPriority w:val="99"/>
    <w:rsid w:val="008D4960"/>
    <w:rPr>
      <w:rFonts w:ascii="Lucida Grande CY" w:hAnsi="Lucida Grande CY" w:cs="Lucida Grande CY"/>
      <w:sz w:val="18"/>
      <w:szCs w:val="18"/>
    </w:rPr>
  </w:style>
  <w:style w:type="character" w:customStyle="1" w:styleId="11">
    <w:name w:val="Текст выноски Знак1"/>
    <w:basedOn w:val="a0"/>
    <w:link w:val="a9"/>
    <w:uiPriority w:val="99"/>
    <w:semiHidden/>
    <w:locked/>
    <w:rPr>
      <w:rFonts w:eastAsia="MS Mincho" w:cs="Times New Roman"/>
      <w:sz w:val="2"/>
      <w:lang w:val="ru-RU" w:eastAsia="ar-SA" w:bidi="ar-SA"/>
    </w:rPr>
  </w:style>
  <w:style w:type="paragraph" w:styleId="aa">
    <w:name w:val="Normal (Web)"/>
    <w:basedOn w:val="a"/>
    <w:uiPriority w:val="99"/>
    <w:rsid w:val="008D4960"/>
    <w:pPr>
      <w:spacing w:before="280" w:after="280"/>
    </w:pPr>
    <w:rPr>
      <w:rFonts w:ascii="Times" w:hAnsi="Times" w:cs="Times"/>
      <w:sz w:val="20"/>
      <w:szCs w:val="20"/>
    </w:rPr>
  </w:style>
  <w:style w:type="paragraph" w:customStyle="1" w:styleId="110">
    <w:name w:val="Цветной список — акцент 11"/>
    <w:basedOn w:val="a"/>
    <w:uiPriority w:val="99"/>
    <w:rsid w:val="008D4960"/>
    <w:pPr>
      <w:ind w:left="720"/>
    </w:pPr>
    <w:rPr>
      <w:rFonts w:ascii="Times New Roman" w:eastAsia="Times New Roman" w:hAnsi="Times New Roman"/>
    </w:rPr>
  </w:style>
  <w:style w:type="table" w:styleId="ab">
    <w:name w:val="Table Grid"/>
    <w:basedOn w:val="a1"/>
    <w:uiPriority w:val="99"/>
    <w:rsid w:val="00EB53A6"/>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99"/>
    <w:qFormat/>
    <w:rsid w:val="003A295F"/>
    <w:pPr>
      <w:suppressAutoHyphens w:val="0"/>
      <w:ind w:left="720"/>
      <w:contextualSpacing/>
    </w:pPr>
    <w:rPr>
      <w:rFonts w:ascii="Times New Roman" w:eastAsia="Times New Roman" w:hAnsi="Times New Roman"/>
      <w:lang w:eastAsia="ru-RU"/>
    </w:rPr>
  </w:style>
  <w:style w:type="character" w:styleId="ad">
    <w:name w:val="Hyperlink"/>
    <w:basedOn w:val="a0"/>
    <w:uiPriority w:val="99"/>
    <w:rsid w:val="00F312F9"/>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040962">
      <w:marLeft w:val="0"/>
      <w:marRight w:val="0"/>
      <w:marTop w:val="0"/>
      <w:marBottom w:val="0"/>
      <w:divBdr>
        <w:top w:val="none" w:sz="0" w:space="0" w:color="auto"/>
        <w:left w:val="none" w:sz="0" w:space="0" w:color="auto"/>
        <w:bottom w:val="none" w:sz="0" w:space="0" w:color="auto"/>
        <w:right w:val="none" w:sz="0" w:space="0" w:color="auto"/>
      </w:divBdr>
    </w:div>
    <w:div w:id="299040963">
      <w:marLeft w:val="0"/>
      <w:marRight w:val="0"/>
      <w:marTop w:val="0"/>
      <w:marBottom w:val="0"/>
      <w:divBdr>
        <w:top w:val="none" w:sz="0" w:space="0" w:color="auto"/>
        <w:left w:val="none" w:sz="0" w:space="0" w:color="auto"/>
        <w:bottom w:val="none" w:sz="0" w:space="0" w:color="auto"/>
        <w:right w:val="none" w:sz="0" w:space="0" w:color="auto"/>
      </w:divBdr>
    </w:div>
    <w:div w:id="299040966">
      <w:marLeft w:val="0"/>
      <w:marRight w:val="0"/>
      <w:marTop w:val="0"/>
      <w:marBottom w:val="0"/>
      <w:divBdr>
        <w:top w:val="none" w:sz="0" w:space="0" w:color="auto"/>
        <w:left w:val="none" w:sz="0" w:space="0" w:color="auto"/>
        <w:bottom w:val="none" w:sz="0" w:space="0" w:color="auto"/>
        <w:right w:val="none" w:sz="0" w:space="0" w:color="auto"/>
      </w:divBdr>
      <w:divsChild>
        <w:div w:id="299040977">
          <w:marLeft w:val="274"/>
          <w:marRight w:val="0"/>
          <w:marTop w:val="0"/>
          <w:marBottom w:val="0"/>
          <w:divBdr>
            <w:top w:val="none" w:sz="0" w:space="0" w:color="auto"/>
            <w:left w:val="none" w:sz="0" w:space="0" w:color="auto"/>
            <w:bottom w:val="none" w:sz="0" w:space="0" w:color="auto"/>
            <w:right w:val="none" w:sz="0" w:space="0" w:color="auto"/>
          </w:divBdr>
        </w:div>
        <w:div w:id="299040982">
          <w:marLeft w:val="274"/>
          <w:marRight w:val="0"/>
          <w:marTop w:val="0"/>
          <w:marBottom w:val="0"/>
          <w:divBdr>
            <w:top w:val="none" w:sz="0" w:space="0" w:color="auto"/>
            <w:left w:val="none" w:sz="0" w:space="0" w:color="auto"/>
            <w:bottom w:val="none" w:sz="0" w:space="0" w:color="auto"/>
            <w:right w:val="none" w:sz="0" w:space="0" w:color="auto"/>
          </w:divBdr>
        </w:div>
        <w:div w:id="299040983">
          <w:marLeft w:val="274"/>
          <w:marRight w:val="0"/>
          <w:marTop w:val="0"/>
          <w:marBottom w:val="0"/>
          <w:divBdr>
            <w:top w:val="none" w:sz="0" w:space="0" w:color="auto"/>
            <w:left w:val="none" w:sz="0" w:space="0" w:color="auto"/>
            <w:bottom w:val="none" w:sz="0" w:space="0" w:color="auto"/>
            <w:right w:val="none" w:sz="0" w:space="0" w:color="auto"/>
          </w:divBdr>
        </w:div>
      </w:divsChild>
    </w:div>
    <w:div w:id="299040967">
      <w:marLeft w:val="0"/>
      <w:marRight w:val="0"/>
      <w:marTop w:val="0"/>
      <w:marBottom w:val="0"/>
      <w:divBdr>
        <w:top w:val="none" w:sz="0" w:space="0" w:color="auto"/>
        <w:left w:val="none" w:sz="0" w:space="0" w:color="auto"/>
        <w:bottom w:val="none" w:sz="0" w:space="0" w:color="auto"/>
        <w:right w:val="none" w:sz="0" w:space="0" w:color="auto"/>
      </w:divBdr>
    </w:div>
    <w:div w:id="299040970">
      <w:marLeft w:val="0"/>
      <w:marRight w:val="0"/>
      <w:marTop w:val="0"/>
      <w:marBottom w:val="0"/>
      <w:divBdr>
        <w:top w:val="none" w:sz="0" w:space="0" w:color="auto"/>
        <w:left w:val="none" w:sz="0" w:space="0" w:color="auto"/>
        <w:bottom w:val="none" w:sz="0" w:space="0" w:color="auto"/>
        <w:right w:val="none" w:sz="0" w:space="0" w:color="auto"/>
      </w:divBdr>
    </w:div>
    <w:div w:id="299040974">
      <w:marLeft w:val="0"/>
      <w:marRight w:val="0"/>
      <w:marTop w:val="0"/>
      <w:marBottom w:val="0"/>
      <w:divBdr>
        <w:top w:val="none" w:sz="0" w:space="0" w:color="auto"/>
        <w:left w:val="none" w:sz="0" w:space="0" w:color="auto"/>
        <w:bottom w:val="none" w:sz="0" w:space="0" w:color="auto"/>
        <w:right w:val="none" w:sz="0" w:space="0" w:color="auto"/>
      </w:divBdr>
    </w:div>
    <w:div w:id="299040975">
      <w:marLeft w:val="0"/>
      <w:marRight w:val="0"/>
      <w:marTop w:val="0"/>
      <w:marBottom w:val="0"/>
      <w:divBdr>
        <w:top w:val="none" w:sz="0" w:space="0" w:color="auto"/>
        <w:left w:val="none" w:sz="0" w:space="0" w:color="auto"/>
        <w:bottom w:val="none" w:sz="0" w:space="0" w:color="auto"/>
        <w:right w:val="none" w:sz="0" w:space="0" w:color="auto"/>
      </w:divBdr>
    </w:div>
    <w:div w:id="299040984">
      <w:marLeft w:val="0"/>
      <w:marRight w:val="0"/>
      <w:marTop w:val="0"/>
      <w:marBottom w:val="0"/>
      <w:divBdr>
        <w:top w:val="none" w:sz="0" w:space="0" w:color="auto"/>
        <w:left w:val="none" w:sz="0" w:space="0" w:color="auto"/>
        <w:bottom w:val="none" w:sz="0" w:space="0" w:color="auto"/>
        <w:right w:val="none" w:sz="0" w:space="0" w:color="auto"/>
      </w:divBdr>
    </w:div>
    <w:div w:id="299040986">
      <w:marLeft w:val="0"/>
      <w:marRight w:val="0"/>
      <w:marTop w:val="0"/>
      <w:marBottom w:val="0"/>
      <w:divBdr>
        <w:top w:val="none" w:sz="0" w:space="0" w:color="auto"/>
        <w:left w:val="none" w:sz="0" w:space="0" w:color="auto"/>
        <w:bottom w:val="none" w:sz="0" w:space="0" w:color="auto"/>
        <w:right w:val="none" w:sz="0" w:space="0" w:color="auto"/>
      </w:divBdr>
      <w:divsChild>
        <w:div w:id="299040996">
          <w:marLeft w:val="274"/>
          <w:marRight w:val="0"/>
          <w:marTop w:val="0"/>
          <w:marBottom w:val="0"/>
          <w:divBdr>
            <w:top w:val="none" w:sz="0" w:space="0" w:color="auto"/>
            <w:left w:val="none" w:sz="0" w:space="0" w:color="auto"/>
            <w:bottom w:val="none" w:sz="0" w:space="0" w:color="auto"/>
            <w:right w:val="none" w:sz="0" w:space="0" w:color="auto"/>
          </w:divBdr>
        </w:div>
      </w:divsChild>
    </w:div>
    <w:div w:id="299040987">
      <w:marLeft w:val="0"/>
      <w:marRight w:val="0"/>
      <w:marTop w:val="0"/>
      <w:marBottom w:val="0"/>
      <w:divBdr>
        <w:top w:val="none" w:sz="0" w:space="0" w:color="auto"/>
        <w:left w:val="none" w:sz="0" w:space="0" w:color="auto"/>
        <w:bottom w:val="none" w:sz="0" w:space="0" w:color="auto"/>
        <w:right w:val="none" w:sz="0" w:space="0" w:color="auto"/>
      </w:divBdr>
    </w:div>
    <w:div w:id="299040992">
      <w:marLeft w:val="0"/>
      <w:marRight w:val="0"/>
      <w:marTop w:val="0"/>
      <w:marBottom w:val="0"/>
      <w:divBdr>
        <w:top w:val="none" w:sz="0" w:space="0" w:color="auto"/>
        <w:left w:val="none" w:sz="0" w:space="0" w:color="auto"/>
        <w:bottom w:val="none" w:sz="0" w:space="0" w:color="auto"/>
        <w:right w:val="none" w:sz="0" w:space="0" w:color="auto"/>
      </w:divBdr>
      <w:divsChild>
        <w:div w:id="299040965">
          <w:marLeft w:val="274"/>
          <w:marRight w:val="0"/>
          <w:marTop w:val="0"/>
          <w:marBottom w:val="0"/>
          <w:divBdr>
            <w:top w:val="none" w:sz="0" w:space="0" w:color="auto"/>
            <w:left w:val="none" w:sz="0" w:space="0" w:color="auto"/>
            <w:bottom w:val="none" w:sz="0" w:space="0" w:color="auto"/>
            <w:right w:val="none" w:sz="0" w:space="0" w:color="auto"/>
          </w:divBdr>
        </w:div>
        <w:div w:id="299040976">
          <w:marLeft w:val="274"/>
          <w:marRight w:val="0"/>
          <w:marTop w:val="0"/>
          <w:marBottom w:val="0"/>
          <w:divBdr>
            <w:top w:val="none" w:sz="0" w:space="0" w:color="auto"/>
            <w:left w:val="none" w:sz="0" w:space="0" w:color="auto"/>
            <w:bottom w:val="none" w:sz="0" w:space="0" w:color="auto"/>
            <w:right w:val="none" w:sz="0" w:space="0" w:color="auto"/>
          </w:divBdr>
        </w:div>
        <w:div w:id="299040978">
          <w:marLeft w:val="274"/>
          <w:marRight w:val="0"/>
          <w:marTop w:val="0"/>
          <w:marBottom w:val="0"/>
          <w:divBdr>
            <w:top w:val="none" w:sz="0" w:space="0" w:color="auto"/>
            <w:left w:val="none" w:sz="0" w:space="0" w:color="auto"/>
            <w:bottom w:val="none" w:sz="0" w:space="0" w:color="auto"/>
            <w:right w:val="none" w:sz="0" w:space="0" w:color="auto"/>
          </w:divBdr>
        </w:div>
        <w:div w:id="299040980">
          <w:marLeft w:val="274"/>
          <w:marRight w:val="0"/>
          <w:marTop w:val="0"/>
          <w:marBottom w:val="0"/>
          <w:divBdr>
            <w:top w:val="none" w:sz="0" w:space="0" w:color="auto"/>
            <w:left w:val="none" w:sz="0" w:space="0" w:color="auto"/>
            <w:bottom w:val="none" w:sz="0" w:space="0" w:color="auto"/>
            <w:right w:val="none" w:sz="0" w:space="0" w:color="auto"/>
          </w:divBdr>
        </w:div>
        <w:div w:id="299040985">
          <w:marLeft w:val="274"/>
          <w:marRight w:val="0"/>
          <w:marTop w:val="0"/>
          <w:marBottom w:val="0"/>
          <w:divBdr>
            <w:top w:val="none" w:sz="0" w:space="0" w:color="auto"/>
            <w:left w:val="none" w:sz="0" w:space="0" w:color="auto"/>
            <w:bottom w:val="none" w:sz="0" w:space="0" w:color="auto"/>
            <w:right w:val="none" w:sz="0" w:space="0" w:color="auto"/>
          </w:divBdr>
        </w:div>
        <w:div w:id="299040993">
          <w:marLeft w:val="274"/>
          <w:marRight w:val="0"/>
          <w:marTop w:val="0"/>
          <w:marBottom w:val="0"/>
          <w:divBdr>
            <w:top w:val="none" w:sz="0" w:space="0" w:color="auto"/>
            <w:left w:val="none" w:sz="0" w:space="0" w:color="auto"/>
            <w:bottom w:val="none" w:sz="0" w:space="0" w:color="auto"/>
            <w:right w:val="none" w:sz="0" w:space="0" w:color="auto"/>
          </w:divBdr>
        </w:div>
      </w:divsChild>
    </w:div>
    <w:div w:id="299040997">
      <w:marLeft w:val="0"/>
      <w:marRight w:val="0"/>
      <w:marTop w:val="0"/>
      <w:marBottom w:val="0"/>
      <w:divBdr>
        <w:top w:val="none" w:sz="0" w:space="0" w:color="auto"/>
        <w:left w:val="none" w:sz="0" w:space="0" w:color="auto"/>
        <w:bottom w:val="none" w:sz="0" w:space="0" w:color="auto"/>
        <w:right w:val="none" w:sz="0" w:space="0" w:color="auto"/>
      </w:divBdr>
    </w:div>
    <w:div w:id="299040998">
      <w:marLeft w:val="0"/>
      <w:marRight w:val="0"/>
      <w:marTop w:val="0"/>
      <w:marBottom w:val="0"/>
      <w:divBdr>
        <w:top w:val="none" w:sz="0" w:space="0" w:color="auto"/>
        <w:left w:val="none" w:sz="0" w:space="0" w:color="auto"/>
        <w:bottom w:val="none" w:sz="0" w:space="0" w:color="auto"/>
        <w:right w:val="none" w:sz="0" w:space="0" w:color="auto"/>
      </w:divBdr>
      <w:divsChild>
        <w:div w:id="299040969">
          <w:marLeft w:val="274"/>
          <w:marRight w:val="0"/>
          <w:marTop w:val="0"/>
          <w:marBottom w:val="0"/>
          <w:divBdr>
            <w:top w:val="none" w:sz="0" w:space="0" w:color="auto"/>
            <w:left w:val="none" w:sz="0" w:space="0" w:color="auto"/>
            <w:bottom w:val="none" w:sz="0" w:space="0" w:color="auto"/>
            <w:right w:val="none" w:sz="0" w:space="0" w:color="auto"/>
          </w:divBdr>
        </w:div>
        <w:div w:id="299040972">
          <w:marLeft w:val="274"/>
          <w:marRight w:val="0"/>
          <w:marTop w:val="0"/>
          <w:marBottom w:val="0"/>
          <w:divBdr>
            <w:top w:val="none" w:sz="0" w:space="0" w:color="auto"/>
            <w:left w:val="none" w:sz="0" w:space="0" w:color="auto"/>
            <w:bottom w:val="none" w:sz="0" w:space="0" w:color="auto"/>
            <w:right w:val="none" w:sz="0" w:space="0" w:color="auto"/>
          </w:divBdr>
        </w:div>
        <w:div w:id="299040973">
          <w:marLeft w:val="274"/>
          <w:marRight w:val="0"/>
          <w:marTop w:val="0"/>
          <w:marBottom w:val="0"/>
          <w:divBdr>
            <w:top w:val="none" w:sz="0" w:space="0" w:color="auto"/>
            <w:left w:val="none" w:sz="0" w:space="0" w:color="auto"/>
            <w:bottom w:val="none" w:sz="0" w:space="0" w:color="auto"/>
            <w:right w:val="none" w:sz="0" w:space="0" w:color="auto"/>
          </w:divBdr>
        </w:div>
        <w:div w:id="299040994">
          <w:marLeft w:val="274"/>
          <w:marRight w:val="0"/>
          <w:marTop w:val="0"/>
          <w:marBottom w:val="0"/>
          <w:divBdr>
            <w:top w:val="none" w:sz="0" w:space="0" w:color="auto"/>
            <w:left w:val="none" w:sz="0" w:space="0" w:color="auto"/>
            <w:bottom w:val="none" w:sz="0" w:space="0" w:color="auto"/>
            <w:right w:val="none" w:sz="0" w:space="0" w:color="auto"/>
          </w:divBdr>
        </w:div>
        <w:div w:id="299041003">
          <w:marLeft w:val="274"/>
          <w:marRight w:val="0"/>
          <w:marTop w:val="0"/>
          <w:marBottom w:val="0"/>
          <w:divBdr>
            <w:top w:val="none" w:sz="0" w:space="0" w:color="auto"/>
            <w:left w:val="none" w:sz="0" w:space="0" w:color="auto"/>
            <w:bottom w:val="none" w:sz="0" w:space="0" w:color="auto"/>
            <w:right w:val="none" w:sz="0" w:space="0" w:color="auto"/>
          </w:divBdr>
        </w:div>
      </w:divsChild>
    </w:div>
    <w:div w:id="299040999">
      <w:marLeft w:val="0"/>
      <w:marRight w:val="0"/>
      <w:marTop w:val="0"/>
      <w:marBottom w:val="0"/>
      <w:divBdr>
        <w:top w:val="none" w:sz="0" w:space="0" w:color="auto"/>
        <w:left w:val="none" w:sz="0" w:space="0" w:color="auto"/>
        <w:bottom w:val="none" w:sz="0" w:space="0" w:color="auto"/>
        <w:right w:val="none" w:sz="0" w:space="0" w:color="auto"/>
      </w:divBdr>
      <w:divsChild>
        <w:div w:id="299040968">
          <w:marLeft w:val="274"/>
          <w:marRight w:val="0"/>
          <w:marTop w:val="0"/>
          <w:marBottom w:val="0"/>
          <w:divBdr>
            <w:top w:val="none" w:sz="0" w:space="0" w:color="auto"/>
            <w:left w:val="none" w:sz="0" w:space="0" w:color="auto"/>
            <w:bottom w:val="none" w:sz="0" w:space="0" w:color="auto"/>
            <w:right w:val="none" w:sz="0" w:space="0" w:color="auto"/>
          </w:divBdr>
        </w:div>
        <w:div w:id="299040971">
          <w:marLeft w:val="274"/>
          <w:marRight w:val="0"/>
          <w:marTop w:val="0"/>
          <w:marBottom w:val="0"/>
          <w:divBdr>
            <w:top w:val="none" w:sz="0" w:space="0" w:color="auto"/>
            <w:left w:val="none" w:sz="0" w:space="0" w:color="auto"/>
            <w:bottom w:val="none" w:sz="0" w:space="0" w:color="auto"/>
            <w:right w:val="none" w:sz="0" w:space="0" w:color="auto"/>
          </w:divBdr>
        </w:div>
        <w:div w:id="299040979">
          <w:marLeft w:val="274"/>
          <w:marRight w:val="0"/>
          <w:marTop w:val="0"/>
          <w:marBottom w:val="0"/>
          <w:divBdr>
            <w:top w:val="none" w:sz="0" w:space="0" w:color="auto"/>
            <w:left w:val="none" w:sz="0" w:space="0" w:color="auto"/>
            <w:bottom w:val="none" w:sz="0" w:space="0" w:color="auto"/>
            <w:right w:val="none" w:sz="0" w:space="0" w:color="auto"/>
          </w:divBdr>
        </w:div>
        <w:div w:id="299040995">
          <w:marLeft w:val="274"/>
          <w:marRight w:val="0"/>
          <w:marTop w:val="0"/>
          <w:marBottom w:val="0"/>
          <w:divBdr>
            <w:top w:val="none" w:sz="0" w:space="0" w:color="auto"/>
            <w:left w:val="none" w:sz="0" w:space="0" w:color="auto"/>
            <w:bottom w:val="none" w:sz="0" w:space="0" w:color="auto"/>
            <w:right w:val="none" w:sz="0" w:space="0" w:color="auto"/>
          </w:divBdr>
        </w:div>
        <w:div w:id="299041002">
          <w:marLeft w:val="274"/>
          <w:marRight w:val="0"/>
          <w:marTop w:val="0"/>
          <w:marBottom w:val="0"/>
          <w:divBdr>
            <w:top w:val="none" w:sz="0" w:space="0" w:color="auto"/>
            <w:left w:val="none" w:sz="0" w:space="0" w:color="auto"/>
            <w:bottom w:val="none" w:sz="0" w:space="0" w:color="auto"/>
            <w:right w:val="none" w:sz="0" w:space="0" w:color="auto"/>
          </w:divBdr>
        </w:div>
      </w:divsChild>
    </w:div>
    <w:div w:id="299041000">
      <w:marLeft w:val="0"/>
      <w:marRight w:val="0"/>
      <w:marTop w:val="0"/>
      <w:marBottom w:val="0"/>
      <w:divBdr>
        <w:top w:val="none" w:sz="0" w:space="0" w:color="auto"/>
        <w:left w:val="none" w:sz="0" w:space="0" w:color="auto"/>
        <w:bottom w:val="none" w:sz="0" w:space="0" w:color="auto"/>
        <w:right w:val="none" w:sz="0" w:space="0" w:color="auto"/>
      </w:divBdr>
      <w:divsChild>
        <w:div w:id="299040981">
          <w:marLeft w:val="547"/>
          <w:marRight w:val="0"/>
          <w:marTop w:val="67"/>
          <w:marBottom w:val="0"/>
          <w:divBdr>
            <w:top w:val="none" w:sz="0" w:space="0" w:color="auto"/>
            <w:left w:val="none" w:sz="0" w:space="0" w:color="auto"/>
            <w:bottom w:val="none" w:sz="0" w:space="0" w:color="auto"/>
            <w:right w:val="none" w:sz="0" w:space="0" w:color="auto"/>
          </w:divBdr>
        </w:div>
        <w:div w:id="299040988">
          <w:marLeft w:val="547"/>
          <w:marRight w:val="0"/>
          <w:marTop w:val="67"/>
          <w:marBottom w:val="0"/>
          <w:divBdr>
            <w:top w:val="none" w:sz="0" w:space="0" w:color="auto"/>
            <w:left w:val="none" w:sz="0" w:space="0" w:color="auto"/>
            <w:bottom w:val="none" w:sz="0" w:space="0" w:color="auto"/>
            <w:right w:val="none" w:sz="0" w:space="0" w:color="auto"/>
          </w:divBdr>
        </w:div>
        <w:div w:id="299040989">
          <w:marLeft w:val="547"/>
          <w:marRight w:val="0"/>
          <w:marTop w:val="67"/>
          <w:marBottom w:val="0"/>
          <w:divBdr>
            <w:top w:val="none" w:sz="0" w:space="0" w:color="auto"/>
            <w:left w:val="none" w:sz="0" w:space="0" w:color="auto"/>
            <w:bottom w:val="none" w:sz="0" w:space="0" w:color="auto"/>
            <w:right w:val="none" w:sz="0" w:space="0" w:color="auto"/>
          </w:divBdr>
        </w:div>
        <w:div w:id="299040990">
          <w:marLeft w:val="547"/>
          <w:marRight w:val="0"/>
          <w:marTop w:val="67"/>
          <w:marBottom w:val="0"/>
          <w:divBdr>
            <w:top w:val="none" w:sz="0" w:space="0" w:color="auto"/>
            <w:left w:val="none" w:sz="0" w:space="0" w:color="auto"/>
            <w:bottom w:val="none" w:sz="0" w:space="0" w:color="auto"/>
            <w:right w:val="none" w:sz="0" w:space="0" w:color="auto"/>
          </w:divBdr>
        </w:div>
        <w:div w:id="299041004">
          <w:marLeft w:val="547"/>
          <w:marRight w:val="0"/>
          <w:marTop w:val="67"/>
          <w:marBottom w:val="0"/>
          <w:divBdr>
            <w:top w:val="none" w:sz="0" w:space="0" w:color="auto"/>
            <w:left w:val="none" w:sz="0" w:space="0" w:color="auto"/>
            <w:bottom w:val="none" w:sz="0" w:space="0" w:color="auto"/>
            <w:right w:val="none" w:sz="0" w:space="0" w:color="auto"/>
          </w:divBdr>
        </w:div>
      </w:divsChild>
    </w:div>
    <w:div w:id="299041001">
      <w:marLeft w:val="0"/>
      <w:marRight w:val="0"/>
      <w:marTop w:val="0"/>
      <w:marBottom w:val="0"/>
      <w:divBdr>
        <w:top w:val="none" w:sz="0" w:space="0" w:color="auto"/>
        <w:left w:val="none" w:sz="0" w:space="0" w:color="auto"/>
        <w:bottom w:val="none" w:sz="0" w:space="0" w:color="auto"/>
        <w:right w:val="none" w:sz="0" w:space="0" w:color="auto"/>
      </w:divBdr>
    </w:div>
    <w:div w:id="299041005">
      <w:marLeft w:val="0"/>
      <w:marRight w:val="0"/>
      <w:marTop w:val="0"/>
      <w:marBottom w:val="0"/>
      <w:divBdr>
        <w:top w:val="none" w:sz="0" w:space="0" w:color="auto"/>
        <w:left w:val="none" w:sz="0" w:space="0" w:color="auto"/>
        <w:bottom w:val="none" w:sz="0" w:space="0" w:color="auto"/>
        <w:right w:val="none" w:sz="0" w:space="0" w:color="auto"/>
      </w:divBdr>
      <w:divsChild>
        <w:div w:id="299040964">
          <w:marLeft w:val="446"/>
          <w:marRight w:val="0"/>
          <w:marTop w:val="0"/>
          <w:marBottom w:val="0"/>
          <w:divBdr>
            <w:top w:val="none" w:sz="0" w:space="0" w:color="auto"/>
            <w:left w:val="none" w:sz="0" w:space="0" w:color="auto"/>
            <w:bottom w:val="none" w:sz="0" w:space="0" w:color="auto"/>
            <w:right w:val="none" w:sz="0" w:space="0" w:color="auto"/>
          </w:divBdr>
        </w:div>
        <w:div w:id="29904099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1603</Words>
  <Characters>9140</Characters>
  <Application>Microsoft Macintosh Word</Application>
  <DocSecurity>0</DocSecurity>
  <Lines>76</Lines>
  <Paragraphs>21</Paragraphs>
  <ScaleCrop>false</ScaleCrop>
  <Company>Гидрометцентр России</Company>
  <LinksUpToDate>false</LinksUpToDate>
  <CharactersWithSpaces>10722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Хан</dc:creator>
  <cp:keywords/>
  <dc:description/>
  <cp:lastModifiedBy>Valentina  Хан</cp:lastModifiedBy>
  <cp:revision>4</cp:revision>
  <dcterms:created xsi:type="dcterms:W3CDTF">2020-05-25T13:35:00Z</dcterms:created>
  <dcterms:modified xsi:type="dcterms:W3CDTF">2020-05-28T08:53:00Z</dcterms:modified>
</cp:coreProperties>
</file>